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D7A38" w14:textId="4AB06803"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5B48A9AC" w:rsidR="0047547B" w:rsidRPr="00C8624E" w:rsidRDefault="00B11746" w:rsidP="00DE00C9">
      <w:pPr>
        <w:pStyle w:val="CommentText"/>
        <w:jc w:val="center"/>
        <w:rPr>
          <w:rFonts w:cs="Arial"/>
          <w:b/>
          <w:sz w:val="22"/>
          <w:szCs w:val="22"/>
        </w:rPr>
      </w:pPr>
      <w:r w:rsidRPr="006B088A">
        <w:rPr>
          <w:rFonts w:ascii="Gill Sans" w:hAnsi="Gill Sans" w:cs="Gill Sans"/>
          <w:b/>
          <w:bCs/>
          <w:noProof/>
          <w:sz w:val="36"/>
          <w:szCs w:val="24"/>
          <w:lang w:val="en-US"/>
        </w:rPr>
        <w:drawing>
          <wp:anchor distT="0" distB="0" distL="114300" distR="114300" simplePos="0" relativeHeight="251659264" behindDoc="0" locked="0" layoutInCell="1" allowOverlap="1" wp14:anchorId="5F6ED8F6" wp14:editId="0DA224B9">
            <wp:simplePos x="0" y="0"/>
            <wp:positionH relativeFrom="column">
              <wp:posOffset>1828800</wp:posOffset>
            </wp:positionH>
            <wp:positionV relativeFrom="paragraph">
              <wp:posOffset>135890</wp:posOffset>
            </wp:positionV>
            <wp:extent cx="2517775" cy="872490"/>
            <wp:effectExtent l="0" t="0" r="0" b="0"/>
            <wp:wrapThrough wrapText="bothSides">
              <wp:wrapPolygon edited="0">
                <wp:start x="3487" y="3773"/>
                <wp:lineTo x="1525" y="7546"/>
                <wp:lineTo x="1307" y="12576"/>
                <wp:lineTo x="4140" y="16978"/>
                <wp:lineTo x="5012" y="16978"/>
                <wp:lineTo x="19612" y="15721"/>
                <wp:lineTo x="21355" y="13834"/>
                <wp:lineTo x="21355" y="8175"/>
                <wp:lineTo x="5448" y="3773"/>
                <wp:lineTo x="3487" y="377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5645" t="34492" r="20473" b="34230"/>
                    <a:stretch/>
                  </pic:blipFill>
                  <pic:spPr bwMode="auto">
                    <a:xfrm>
                      <a:off x="0" y="0"/>
                      <a:ext cx="2517775" cy="872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C59A21" w14:textId="5B5EB4BD"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Default="0047547B" w:rsidP="00DE00C9">
      <w:pPr>
        <w:pStyle w:val="CommentText"/>
        <w:jc w:val="center"/>
        <w:rPr>
          <w:rFonts w:cs="Arial"/>
          <w:b/>
          <w:sz w:val="40"/>
          <w:szCs w:val="40"/>
        </w:rPr>
      </w:pPr>
    </w:p>
    <w:p w14:paraId="5BF36EA5" w14:textId="77777777" w:rsidR="00096902" w:rsidRPr="00E73E59" w:rsidRDefault="00096902" w:rsidP="00DE00C9">
      <w:pPr>
        <w:pStyle w:val="CommentText"/>
        <w:jc w:val="center"/>
        <w:rPr>
          <w:rFonts w:cs="Arial"/>
          <w:b/>
          <w:sz w:val="40"/>
          <w:szCs w:val="40"/>
        </w:rPr>
      </w:pPr>
    </w:p>
    <w:p w14:paraId="24082B13" w14:textId="2765365F" w:rsidR="00C9377D" w:rsidRPr="00E73E59" w:rsidRDefault="00AF5A70" w:rsidP="00FC0080">
      <w:pPr>
        <w:spacing w:before="0" w:after="0" w:line="240" w:lineRule="auto"/>
        <w:jc w:val="center"/>
        <w:rPr>
          <w:rFonts w:cs="Arial"/>
          <w:b/>
          <w:sz w:val="40"/>
          <w:szCs w:val="40"/>
        </w:rPr>
      </w:pPr>
      <w:r>
        <w:rPr>
          <w:rFonts w:cs="Arial"/>
          <w:b/>
          <w:sz w:val="40"/>
          <w:szCs w:val="40"/>
        </w:rPr>
        <w:t>SEEKENYA</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6C9BB80B" w14:textId="2E401535" w:rsidR="009655B0" w:rsidRDefault="00E73E59" w:rsidP="00E73E59">
      <w:pPr>
        <w:pStyle w:val="CommentText"/>
        <w:jc w:val="right"/>
        <w:rPr>
          <w:b/>
          <w:color w:val="000000"/>
        </w:rPr>
      </w:pPr>
      <w:r w:rsidRPr="00E73E59">
        <w:rPr>
          <w:rFonts w:cs="Arial"/>
          <w:sz w:val="24"/>
          <w:szCs w:val="24"/>
        </w:rPr>
        <w:t xml:space="preserve">Adopted: </w:t>
      </w:r>
      <w:r w:rsidR="00B03651">
        <w:rPr>
          <w:rFonts w:cs="Arial"/>
          <w:sz w:val="24"/>
          <w:szCs w:val="24"/>
        </w:rPr>
        <w:t>March</w:t>
      </w:r>
      <w:r w:rsidR="00096902">
        <w:rPr>
          <w:rFonts w:cs="Arial"/>
          <w:sz w:val="24"/>
          <w:szCs w:val="24"/>
        </w:rPr>
        <w:t xml:space="preserve"> 201</w:t>
      </w:r>
      <w:r w:rsidR="00B86285">
        <w:rPr>
          <w:rFonts w:cs="Arial"/>
          <w:sz w:val="24"/>
          <w:szCs w:val="24"/>
        </w:rPr>
        <w:t>9</w:t>
      </w:r>
      <w:r w:rsidR="009655B0">
        <w:rPr>
          <w:b/>
        </w:rPr>
        <w:br w:type="page"/>
      </w:r>
    </w:p>
    <w:p w14:paraId="2E70E3FE" w14:textId="186E6FC3" w:rsidR="00EB4A28" w:rsidRPr="00EB4A28" w:rsidRDefault="00AF5A70" w:rsidP="00E73E59">
      <w:pPr>
        <w:pStyle w:val="Heading9"/>
        <w:rPr>
          <w:sz w:val="22"/>
        </w:rPr>
      </w:pPr>
      <w:proofErr w:type="spellStart"/>
      <w:r>
        <w:rPr>
          <w:sz w:val="22"/>
        </w:rPr>
        <w:lastRenderedPageBreak/>
        <w:t>SeeKenya</w:t>
      </w:r>
      <w:proofErr w:type="spellEnd"/>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AA5C17" w:rsidR="00E80A8B" w:rsidRPr="0021162A" w:rsidRDefault="0023367A" w:rsidP="0021162A">
      <w:pPr>
        <w:pStyle w:val="Heading2"/>
        <w:numPr>
          <w:ilvl w:val="0"/>
          <w:numId w:val="0"/>
        </w:numPr>
        <w:ind w:left="720" w:hanging="720"/>
        <w:rPr>
          <w:b/>
        </w:rPr>
      </w:pPr>
      <w:r w:rsidRPr="0021162A">
        <w:rPr>
          <w:b/>
        </w:rPr>
        <w:t>Contents</w:t>
      </w:r>
      <w:bookmarkStart w:id="0" w:name="_GoBack"/>
      <w:bookmarkEnd w:id="0"/>
    </w:p>
    <w:p w14:paraId="2D61405C" w14:textId="77777777" w:rsidR="00954D12" w:rsidRDefault="00E80A8B">
      <w:pPr>
        <w:pStyle w:val="TOC3"/>
        <w:rPr>
          <w:rFonts w:asciiTheme="minorHAnsi" w:eastAsiaTheme="minorEastAsia" w:hAnsiTheme="minorHAnsi" w:cstheme="minorBidi"/>
          <w:sz w:val="24"/>
          <w:szCs w:val="24"/>
          <w:lang w:eastAsia="ja-JP"/>
        </w:rPr>
      </w:pPr>
      <w:r w:rsidRPr="00B5172D">
        <w:rPr>
          <w:rFonts w:cs="Arial"/>
          <w:sz w:val="22"/>
          <w:szCs w:val="22"/>
        </w:rPr>
        <w:fldChar w:fldCharType="begin"/>
      </w:r>
      <w:r w:rsidR="0023367A" w:rsidRPr="00C8624E">
        <w:rPr>
          <w:rFonts w:cs="Arial"/>
          <w:sz w:val="22"/>
          <w:szCs w:val="22"/>
        </w:rPr>
        <w:instrText>TOC \t "Heading 1,3"</w:instrText>
      </w:r>
      <w:r w:rsidRPr="00B5172D">
        <w:rPr>
          <w:rFonts w:cs="Arial"/>
          <w:sz w:val="22"/>
          <w:szCs w:val="22"/>
        </w:rPr>
        <w:fldChar w:fldCharType="separate"/>
      </w:r>
      <w:r w:rsidR="00954D12" w:rsidRPr="00A76BB1">
        <w:rPr>
          <w:u w:val="single"/>
        </w:rPr>
        <w:t>Section A – What this policy is for</w:t>
      </w:r>
      <w:r w:rsidR="00954D12">
        <w:tab/>
      </w:r>
      <w:r w:rsidR="00954D12">
        <w:fldChar w:fldCharType="begin"/>
      </w:r>
      <w:r w:rsidR="00954D12">
        <w:instrText xml:space="preserve"> PAGEREF _Toc421277298 \h </w:instrText>
      </w:r>
      <w:r w:rsidR="00954D12">
        <w:fldChar w:fldCharType="separate"/>
      </w:r>
      <w:r w:rsidR="00320E1A">
        <w:t>3</w:t>
      </w:r>
      <w:r w:rsidR="00954D12">
        <w:fldChar w:fldCharType="end"/>
      </w:r>
    </w:p>
    <w:p w14:paraId="06EEDF12"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smallCaps/>
        </w:rPr>
        <w:t>1.</w:t>
      </w:r>
      <w:r>
        <w:rPr>
          <w:rFonts w:asciiTheme="minorHAnsi" w:eastAsiaTheme="minorEastAsia" w:hAnsiTheme="minorHAnsi" w:cstheme="minorBidi"/>
          <w:sz w:val="24"/>
          <w:szCs w:val="24"/>
          <w:lang w:eastAsia="ja-JP"/>
        </w:rPr>
        <w:tab/>
      </w:r>
      <w:r>
        <w:t>Policy statement</w:t>
      </w:r>
      <w:r>
        <w:tab/>
      </w:r>
      <w:r>
        <w:fldChar w:fldCharType="begin"/>
      </w:r>
      <w:r>
        <w:instrText xml:space="preserve"> PAGEREF _Toc421277299 \h </w:instrText>
      </w:r>
      <w:r>
        <w:fldChar w:fldCharType="separate"/>
      </w:r>
      <w:r w:rsidR="00320E1A">
        <w:t>3</w:t>
      </w:r>
      <w:r>
        <w:fldChar w:fldCharType="end"/>
      </w:r>
    </w:p>
    <w:p w14:paraId="14F05A42"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2.</w:t>
      </w:r>
      <w:r>
        <w:rPr>
          <w:rFonts w:asciiTheme="minorHAnsi" w:eastAsiaTheme="minorEastAsia" w:hAnsiTheme="minorHAnsi" w:cstheme="minorBidi"/>
          <w:sz w:val="24"/>
          <w:szCs w:val="24"/>
          <w:lang w:eastAsia="ja-JP"/>
        </w:rPr>
        <w:tab/>
      </w:r>
      <w:r>
        <w:t>Why this policy is important</w:t>
      </w:r>
      <w:r>
        <w:tab/>
      </w:r>
      <w:r>
        <w:fldChar w:fldCharType="begin"/>
      </w:r>
      <w:r>
        <w:instrText xml:space="preserve"> PAGEREF _Toc421277300 \h </w:instrText>
      </w:r>
      <w:r>
        <w:fldChar w:fldCharType="separate"/>
      </w:r>
      <w:r w:rsidR="00320E1A">
        <w:t>3</w:t>
      </w:r>
      <w:r>
        <w:fldChar w:fldCharType="end"/>
      </w:r>
    </w:p>
    <w:p w14:paraId="63C3499A"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3.</w:t>
      </w:r>
      <w:r>
        <w:rPr>
          <w:rFonts w:asciiTheme="minorHAnsi" w:eastAsiaTheme="minorEastAsia" w:hAnsiTheme="minorHAnsi" w:cstheme="minorBidi"/>
          <w:sz w:val="24"/>
          <w:szCs w:val="24"/>
          <w:lang w:eastAsia="ja-JP"/>
        </w:rPr>
        <w:tab/>
      </w:r>
      <w:r>
        <w:t>How this policy applies to you &amp; what you need to know</w:t>
      </w:r>
      <w:r>
        <w:tab/>
      </w:r>
      <w:r>
        <w:fldChar w:fldCharType="begin"/>
      </w:r>
      <w:r>
        <w:instrText xml:space="preserve"> PAGEREF _Toc421277301 \h </w:instrText>
      </w:r>
      <w:r>
        <w:fldChar w:fldCharType="separate"/>
      </w:r>
      <w:r w:rsidR="00320E1A">
        <w:t>4</w:t>
      </w:r>
      <w:r>
        <w:fldChar w:fldCharType="end"/>
      </w:r>
    </w:p>
    <w:p w14:paraId="55EB788E"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4.</w:t>
      </w:r>
      <w:r>
        <w:rPr>
          <w:rFonts w:asciiTheme="minorHAnsi" w:eastAsiaTheme="minorEastAsia" w:hAnsiTheme="minorHAnsi" w:cstheme="minorBidi"/>
          <w:sz w:val="24"/>
          <w:szCs w:val="24"/>
          <w:lang w:eastAsia="ja-JP"/>
        </w:rPr>
        <w:tab/>
      </w:r>
      <w:r>
        <w:t>Training and guidance</w:t>
      </w:r>
      <w:r>
        <w:tab/>
      </w:r>
      <w:r>
        <w:fldChar w:fldCharType="begin"/>
      </w:r>
      <w:r>
        <w:instrText xml:space="preserve"> PAGEREF _Toc421277302 \h </w:instrText>
      </w:r>
      <w:r>
        <w:fldChar w:fldCharType="separate"/>
      </w:r>
      <w:r w:rsidR="00320E1A">
        <w:t>5</w:t>
      </w:r>
      <w:r>
        <w:fldChar w:fldCharType="end"/>
      </w:r>
    </w:p>
    <w:p w14:paraId="457CB0BC" w14:textId="77777777" w:rsidR="00954D12" w:rsidRDefault="00954D12">
      <w:pPr>
        <w:pStyle w:val="TOC3"/>
        <w:rPr>
          <w:rFonts w:asciiTheme="minorHAnsi" w:eastAsiaTheme="minorEastAsia" w:hAnsiTheme="minorHAnsi" w:cstheme="minorBidi"/>
          <w:sz w:val="24"/>
          <w:szCs w:val="24"/>
          <w:lang w:eastAsia="ja-JP"/>
        </w:rPr>
      </w:pPr>
      <w:r w:rsidRPr="00A76BB1">
        <w:rPr>
          <w:u w:val="single"/>
        </w:rPr>
        <w:t>Section B – Our data protection responsibilities</w:t>
      </w:r>
      <w:r>
        <w:tab/>
      </w:r>
      <w:r>
        <w:fldChar w:fldCharType="begin"/>
      </w:r>
      <w:r>
        <w:instrText xml:space="preserve"> PAGEREF _Toc421277303 \h </w:instrText>
      </w:r>
      <w:r>
        <w:fldChar w:fldCharType="separate"/>
      </w:r>
      <w:r w:rsidR="00320E1A">
        <w:t>5</w:t>
      </w:r>
      <w:r>
        <w:fldChar w:fldCharType="end"/>
      </w:r>
    </w:p>
    <w:p w14:paraId="5B94EB45"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5.</w:t>
      </w:r>
      <w:r>
        <w:rPr>
          <w:rFonts w:asciiTheme="minorHAnsi" w:eastAsiaTheme="minorEastAsia" w:hAnsiTheme="minorHAnsi" w:cstheme="minorBidi"/>
          <w:sz w:val="24"/>
          <w:szCs w:val="24"/>
          <w:lang w:eastAsia="ja-JP"/>
        </w:rPr>
        <w:tab/>
      </w:r>
      <w:r>
        <w:t>What personal information do we process?</w:t>
      </w:r>
      <w:r>
        <w:tab/>
      </w:r>
      <w:r>
        <w:fldChar w:fldCharType="begin"/>
      </w:r>
      <w:r>
        <w:instrText xml:space="preserve"> PAGEREF _Toc421277304 \h </w:instrText>
      </w:r>
      <w:r>
        <w:fldChar w:fldCharType="separate"/>
      </w:r>
      <w:r w:rsidR="00320E1A">
        <w:t>5</w:t>
      </w:r>
      <w:r>
        <w:fldChar w:fldCharType="end"/>
      </w:r>
    </w:p>
    <w:p w14:paraId="7B12A123"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6.</w:t>
      </w:r>
      <w:r>
        <w:rPr>
          <w:rFonts w:asciiTheme="minorHAnsi" w:eastAsiaTheme="minorEastAsia" w:hAnsiTheme="minorHAnsi" w:cstheme="minorBidi"/>
          <w:sz w:val="24"/>
          <w:szCs w:val="24"/>
          <w:lang w:eastAsia="ja-JP"/>
        </w:rPr>
        <w:tab/>
      </w:r>
      <w:r>
        <w:t>Making sure processing is fair and lawful</w:t>
      </w:r>
      <w:r>
        <w:tab/>
      </w:r>
      <w:r>
        <w:fldChar w:fldCharType="begin"/>
      </w:r>
      <w:r>
        <w:instrText xml:space="preserve"> PAGEREF _Toc421277305 \h </w:instrText>
      </w:r>
      <w:r>
        <w:fldChar w:fldCharType="separate"/>
      </w:r>
      <w:r w:rsidR="00320E1A">
        <w:t>6</w:t>
      </w:r>
      <w:r>
        <w:fldChar w:fldCharType="end"/>
      </w:r>
    </w:p>
    <w:p w14:paraId="14BCAB36"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7.</w:t>
      </w:r>
      <w:r>
        <w:rPr>
          <w:rFonts w:asciiTheme="minorHAnsi" w:eastAsiaTheme="minorEastAsia" w:hAnsiTheme="minorHAnsi" w:cstheme="minorBidi"/>
          <w:sz w:val="24"/>
          <w:szCs w:val="24"/>
          <w:lang w:eastAsia="ja-JP"/>
        </w:rPr>
        <w:tab/>
      </w:r>
      <w:r>
        <w:t>When we need consent to process data</w:t>
      </w:r>
      <w:r>
        <w:tab/>
      </w:r>
      <w:r>
        <w:fldChar w:fldCharType="begin"/>
      </w:r>
      <w:r>
        <w:instrText xml:space="preserve"> PAGEREF _Toc421277306 \h </w:instrText>
      </w:r>
      <w:r>
        <w:fldChar w:fldCharType="separate"/>
      </w:r>
      <w:r w:rsidR="00320E1A">
        <w:t>7</w:t>
      </w:r>
      <w:r>
        <w:fldChar w:fldCharType="end"/>
      </w:r>
    </w:p>
    <w:p w14:paraId="2500F4E2"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8.</w:t>
      </w:r>
      <w:r>
        <w:rPr>
          <w:rFonts w:asciiTheme="minorHAnsi" w:eastAsiaTheme="minorEastAsia" w:hAnsiTheme="minorHAnsi" w:cstheme="minorBidi"/>
          <w:sz w:val="24"/>
          <w:szCs w:val="24"/>
          <w:lang w:eastAsia="ja-JP"/>
        </w:rPr>
        <w:tab/>
      </w:r>
      <w:r>
        <w:t>Processing for specified purposes</w:t>
      </w:r>
      <w:r>
        <w:tab/>
      </w:r>
      <w:r>
        <w:fldChar w:fldCharType="begin"/>
      </w:r>
      <w:r>
        <w:instrText xml:space="preserve"> PAGEREF _Toc421277307 \h </w:instrText>
      </w:r>
      <w:r>
        <w:fldChar w:fldCharType="separate"/>
      </w:r>
      <w:r w:rsidR="00320E1A">
        <w:t>7</w:t>
      </w:r>
      <w:r>
        <w:fldChar w:fldCharType="end"/>
      </w:r>
    </w:p>
    <w:p w14:paraId="30BF59C5" w14:textId="77777777" w:rsidR="00954D12" w:rsidRDefault="00954D12">
      <w:pPr>
        <w:pStyle w:val="TOC3"/>
        <w:tabs>
          <w:tab w:val="left" w:pos="407"/>
        </w:tabs>
        <w:rPr>
          <w:rFonts w:asciiTheme="minorHAnsi" w:eastAsiaTheme="minorEastAsia" w:hAnsiTheme="minorHAnsi" w:cstheme="minorBidi"/>
          <w:sz w:val="24"/>
          <w:szCs w:val="24"/>
          <w:lang w:eastAsia="ja-JP"/>
        </w:rPr>
      </w:pPr>
      <w:r w:rsidRPr="00A76BB1">
        <w:rPr>
          <w:caps/>
        </w:rPr>
        <w:t>9.</w:t>
      </w:r>
      <w:r>
        <w:rPr>
          <w:rFonts w:asciiTheme="minorHAnsi" w:eastAsiaTheme="minorEastAsia" w:hAnsiTheme="minorHAnsi" w:cstheme="minorBidi"/>
          <w:sz w:val="24"/>
          <w:szCs w:val="24"/>
          <w:lang w:eastAsia="ja-JP"/>
        </w:rPr>
        <w:tab/>
      </w:r>
      <w:r>
        <w:t>Data will be adequate, relevant and not excessive</w:t>
      </w:r>
      <w:r>
        <w:tab/>
      </w:r>
      <w:r>
        <w:fldChar w:fldCharType="begin"/>
      </w:r>
      <w:r>
        <w:instrText xml:space="preserve"> PAGEREF _Toc421277308 \h </w:instrText>
      </w:r>
      <w:r>
        <w:fldChar w:fldCharType="separate"/>
      </w:r>
      <w:r w:rsidR="00320E1A">
        <w:t>7</w:t>
      </w:r>
      <w:r>
        <w:fldChar w:fldCharType="end"/>
      </w:r>
    </w:p>
    <w:p w14:paraId="37E3A1F9"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10.</w:t>
      </w:r>
      <w:r>
        <w:rPr>
          <w:rFonts w:asciiTheme="minorHAnsi" w:eastAsiaTheme="minorEastAsia" w:hAnsiTheme="minorHAnsi" w:cstheme="minorBidi"/>
          <w:sz w:val="24"/>
          <w:szCs w:val="24"/>
          <w:lang w:eastAsia="ja-JP"/>
        </w:rPr>
        <w:tab/>
      </w:r>
      <w:r>
        <w:t>Accurate data</w:t>
      </w:r>
      <w:r>
        <w:tab/>
      </w:r>
      <w:r>
        <w:fldChar w:fldCharType="begin"/>
      </w:r>
      <w:r>
        <w:instrText xml:space="preserve"> PAGEREF _Toc421277309 \h </w:instrText>
      </w:r>
      <w:r>
        <w:fldChar w:fldCharType="separate"/>
      </w:r>
      <w:r w:rsidR="00320E1A">
        <w:t>8</w:t>
      </w:r>
      <w:r>
        <w:fldChar w:fldCharType="end"/>
      </w:r>
    </w:p>
    <w:p w14:paraId="32C9AB45"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11.</w:t>
      </w:r>
      <w:r>
        <w:rPr>
          <w:rFonts w:asciiTheme="minorHAnsi" w:eastAsiaTheme="minorEastAsia" w:hAnsiTheme="minorHAnsi" w:cstheme="minorBidi"/>
          <w:sz w:val="24"/>
          <w:szCs w:val="24"/>
          <w:lang w:eastAsia="ja-JP"/>
        </w:rPr>
        <w:tab/>
      </w:r>
      <w:r>
        <w:t>Keeping data and destroying it</w:t>
      </w:r>
      <w:r>
        <w:tab/>
      </w:r>
      <w:r>
        <w:fldChar w:fldCharType="begin"/>
      </w:r>
      <w:r>
        <w:instrText xml:space="preserve"> PAGEREF _Toc421277310 \h </w:instrText>
      </w:r>
      <w:r>
        <w:fldChar w:fldCharType="separate"/>
      </w:r>
      <w:r w:rsidR="00320E1A">
        <w:t>8</w:t>
      </w:r>
      <w:r>
        <w:fldChar w:fldCharType="end"/>
      </w:r>
    </w:p>
    <w:p w14:paraId="7DBC396C"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12.</w:t>
      </w:r>
      <w:r>
        <w:rPr>
          <w:rFonts w:asciiTheme="minorHAnsi" w:eastAsiaTheme="minorEastAsia" w:hAnsiTheme="minorHAnsi" w:cstheme="minorBidi"/>
          <w:sz w:val="24"/>
          <w:szCs w:val="24"/>
          <w:lang w:eastAsia="ja-JP"/>
        </w:rPr>
        <w:tab/>
      </w:r>
      <w:r>
        <w:t>Security of personal data</w:t>
      </w:r>
      <w:r>
        <w:tab/>
      </w:r>
      <w:r>
        <w:fldChar w:fldCharType="begin"/>
      </w:r>
      <w:r>
        <w:instrText xml:space="preserve"> PAGEREF _Toc421277311 \h </w:instrText>
      </w:r>
      <w:r>
        <w:fldChar w:fldCharType="separate"/>
      </w:r>
      <w:r w:rsidR="00320E1A">
        <w:t>8</w:t>
      </w:r>
      <w:r>
        <w:fldChar w:fldCharType="end"/>
      </w:r>
    </w:p>
    <w:p w14:paraId="38F3EFC0"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13.</w:t>
      </w:r>
      <w:r>
        <w:rPr>
          <w:rFonts w:asciiTheme="minorHAnsi" w:eastAsiaTheme="minorEastAsia" w:hAnsiTheme="minorHAnsi" w:cstheme="minorBidi"/>
          <w:sz w:val="24"/>
          <w:szCs w:val="24"/>
          <w:lang w:eastAsia="ja-JP"/>
        </w:rPr>
        <w:tab/>
      </w:r>
      <w:r>
        <w:t>Keeping records of our data processing</w:t>
      </w:r>
      <w:r>
        <w:tab/>
      </w:r>
      <w:r>
        <w:fldChar w:fldCharType="begin"/>
      </w:r>
      <w:r>
        <w:instrText xml:space="preserve"> PAGEREF _Toc421277312 \h </w:instrText>
      </w:r>
      <w:r>
        <w:fldChar w:fldCharType="separate"/>
      </w:r>
      <w:r w:rsidR="00320E1A">
        <w:t>9</w:t>
      </w:r>
      <w:r>
        <w:fldChar w:fldCharType="end"/>
      </w:r>
    </w:p>
    <w:p w14:paraId="01417AFC" w14:textId="77777777" w:rsidR="00954D12" w:rsidRDefault="00954D12">
      <w:pPr>
        <w:pStyle w:val="TOC3"/>
        <w:rPr>
          <w:rFonts w:asciiTheme="minorHAnsi" w:eastAsiaTheme="minorEastAsia" w:hAnsiTheme="minorHAnsi" w:cstheme="minorBidi"/>
          <w:sz w:val="24"/>
          <w:szCs w:val="24"/>
          <w:lang w:eastAsia="ja-JP"/>
        </w:rPr>
      </w:pPr>
      <w:r w:rsidRPr="00A76BB1">
        <w:rPr>
          <w:u w:val="single"/>
        </w:rPr>
        <w:t>Section C – Working with people we process data about (data subjects)</w:t>
      </w:r>
      <w:r>
        <w:tab/>
      </w:r>
      <w:r>
        <w:fldChar w:fldCharType="begin"/>
      </w:r>
      <w:r>
        <w:instrText xml:space="preserve"> PAGEREF _Toc421277313 \h </w:instrText>
      </w:r>
      <w:r>
        <w:fldChar w:fldCharType="separate"/>
      </w:r>
      <w:r w:rsidR="00320E1A">
        <w:t>9</w:t>
      </w:r>
      <w:r>
        <w:fldChar w:fldCharType="end"/>
      </w:r>
    </w:p>
    <w:p w14:paraId="4817CE0B"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14.</w:t>
      </w:r>
      <w:r>
        <w:rPr>
          <w:rFonts w:asciiTheme="minorHAnsi" w:eastAsiaTheme="minorEastAsia" w:hAnsiTheme="minorHAnsi" w:cstheme="minorBidi"/>
          <w:sz w:val="24"/>
          <w:szCs w:val="24"/>
          <w:lang w:eastAsia="ja-JP"/>
        </w:rPr>
        <w:tab/>
      </w:r>
      <w:r>
        <w:t>Data subjects’ rights</w:t>
      </w:r>
      <w:r>
        <w:tab/>
      </w:r>
      <w:r>
        <w:fldChar w:fldCharType="begin"/>
      </w:r>
      <w:r>
        <w:instrText xml:space="preserve"> PAGEREF _Toc421277314 \h </w:instrText>
      </w:r>
      <w:r>
        <w:fldChar w:fldCharType="separate"/>
      </w:r>
      <w:r w:rsidR="00320E1A">
        <w:t>9</w:t>
      </w:r>
      <w:r>
        <w:fldChar w:fldCharType="end"/>
      </w:r>
    </w:p>
    <w:p w14:paraId="54485430"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15.</w:t>
      </w:r>
      <w:r>
        <w:rPr>
          <w:rFonts w:asciiTheme="minorHAnsi" w:eastAsiaTheme="minorEastAsia" w:hAnsiTheme="minorHAnsi" w:cstheme="minorBidi"/>
          <w:sz w:val="24"/>
          <w:szCs w:val="24"/>
          <w:lang w:eastAsia="ja-JP"/>
        </w:rPr>
        <w:tab/>
      </w:r>
      <w:r>
        <w:t>Direct marketing</w:t>
      </w:r>
      <w:r>
        <w:tab/>
      </w:r>
      <w:r>
        <w:fldChar w:fldCharType="begin"/>
      </w:r>
      <w:r>
        <w:instrText xml:space="preserve"> PAGEREF _Toc421277315 \h </w:instrText>
      </w:r>
      <w:r>
        <w:fldChar w:fldCharType="separate"/>
      </w:r>
      <w:r w:rsidR="00320E1A">
        <w:t>9</w:t>
      </w:r>
      <w:r>
        <w:fldChar w:fldCharType="end"/>
      </w:r>
    </w:p>
    <w:p w14:paraId="75D292B8" w14:textId="77777777" w:rsidR="00954D12" w:rsidRDefault="00954D12">
      <w:pPr>
        <w:pStyle w:val="TOC3"/>
        <w:rPr>
          <w:rFonts w:asciiTheme="minorHAnsi" w:eastAsiaTheme="minorEastAsia" w:hAnsiTheme="minorHAnsi" w:cstheme="minorBidi"/>
          <w:sz w:val="24"/>
          <w:szCs w:val="24"/>
          <w:lang w:eastAsia="ja-JP"/>
        </w:rPr>
      </w:pPr>
      <w:r w:rsidRPr="00A76BB1">
        <w:rPr>
          <w:u w:val="single"/>
        </w:rPr>
        <w:t>Section D – working with other organisations &amp; transferring data</w:t>
      </w:r>
      <w:r>
        <w:tab/>
      </w:r>
      <w:r>
        <w:fldChar w:fldCharType="begin"/>
      </w:r>
      <w:r>
        <w:instrText xml:space="preserve"> PAGEREF _Toc421277316 \h </w:instrText>
      </w:r>
      <w:r>
        <w:fldChar w:fldCharType="separate"/>
      </w:r>
      <w:r w:rsidR="00320E1A">
        <w:t>10</w:t>
      </w:r>
      <w:r>
        <w:fldChar w:fldCharType="end"/>
      </w:r>
    </w:p>
    <w:p w14:paraId="2A53A284"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16.</w:t>
      </w:r>
      <w:r>
        <w:rPr>
          <w:rFonts w:asciiTheme="minorHAnsi" w:eastAsiaTheme="minorEastAsia" w:hAnsiTheme="minorHAnsi" w:cstheme="minorBidi"/>
          <w:sz w:val="24"/>
          <w:szCs w:val="24"/>
          <w:lang w:eastAsia="ja-JP"/>
        </w:rPr>
        <w:tab/>
      </w:r>
      <w:r>
        <w:t>Sharing information with other organisations</w:t>
      </w:r>
      <w:r>
        <w:tab/>
      </w:r>
      <w:r>
        <w:fldChar w:fldCharType="begin"/>
      </w:r>
      <w:r>
        <w:instrText xml:space="preserve"> PAGEREF _Toc421277317 \h </w:instrText>
      </w:r>
      <w:r>
        <w:fldChar w:fldCharType="separate"/>
      </w:r>
      <w:r w:rsidR="00320E1A">
        <w:t>10</w:t>
      </w:r>
      <w:r>
        <w:fldChar w:fldCharType="end"/>
      </w:r>
    </w:p>
    <w:p w14:paraId="658E7D97"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17.</w:t>
      </w:r>
      <w:r>
        <w:rPr>
          <w:rFonts w:asciiTheme="minorHAnsi" w:eastAsiaTheme="minorEastAsia" w:hAnsiTheme="minorHAnsi" w:cstheme="minorBidi"/>
          <w:sz w:val="24"/>
          <w:szCs w:val="24"/>
          <w:lang w:eastAsia="ja-JP"/>
        </w:rPr>
        <w:tab/>
      </w:r>
      <w:r>
        <w:t>Data processors</w:t>
      </w:r>
      <w:r>
        <w:tab/>
      </w:r>
      <w:r>
        <w:fldChar w:fldCharType="begin"/>
      </w:r>
      <w:r>
        <w:instrText xml:space="preserve"> PAGEREF _Toc421277318 \h </w:instrText>
      </w:r>
      <w:r>
        <w:fldChar w:fldCharType="separate"/>
      </w:r>
      <w:r w:rsidR="00320E1A">
        <w:t>10</w:t>
      </w:r>
      <w:r>
        <w:fldChar w:fldCharType="end"/>
      </w:r>
    </w:p>
    <w:p w14:paraId="2674E951"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18.</w:t>
      </w:r>
      <w:r>
        <w:rPr>
          <w:rFonts w:asciiTheme="minorHAnsi" w:eastAsiaTheme="minorEastAsia" w:hAnsiTheme="minorHAnsi" w:cstheme="minorBidi"/>
          <w:sz w:val="24"/>
          <w:szCs w:val="24"/>
          <w:lang w:eastAsia="ja-JP"/>
        </w:rPr>
        <w:tab/>
      </w:r>
      <w:r>
        <w:t>Transferring personal data outside the European Union (EU)</w:t>
      </w:r>
      <w:r>
        <w:tab/>
      </w:r>
      <w:r>
        <w:fldChar w:fldCharType="begin"/>
      </w:r>
      <w:r>
        <w:instrText xml:space="preserve"> PAGEREF _Toc421277319 \h </w:instrText>
      </w:r>
      <w:r>
        <w:fldChar w:fldCharType="separate"/>
      </w:r>
      <w:r w:rsidR="00320E1A">
        <w:t>11</w:t>
      </w:r>
      <w:r>
        <w:fldChar w:fldCharType="end"/>
      </w:r>
    </w:p>
    <w:p w14:paraId="6E278BA2" w14:textId="77777777" w:rsidR="00954D12" w:rsidRDefault="00954D12">
      <w:pPr>
        <w:pStyle w:val="TOC3"/>
        <w:rPr>
          <w:rFonts w:asciiTheme="minorHAnsi" w:eastAsiaTheme="minorEastAsia" w:hAnsiTheme="minorHAnsi" w:cstheme="minorBidi"/>
          <w:sz w:val="24"/>
          <w:szCs w:val="24"/>
          <w:lang w:eastAsia="ja-JP"/>
        </w:rPr>
      </w:pPr>
      <w:r w:rsidRPr="00A76BB1">
        <w:rPr>
          <w:u w:val="single"/>
        </w:rPr>
        <w:t>Section E – Managing change &amp; risks</w:t>
      </w:r>
      <w:r>
        <w:tab/>
      </w:r>
      <w:r>
        <w:fldChar w:fldCharType="begin"/>
      </w:r>
      <w:r>
        <w:instrText xml:space="preserve"> PAGEREF _Toc421277320 \h </w:instrText>
      </w:r>
      <w:r>
        <w:fldChar w:fldCharType="separate"/>
      </w:r>
      <w:r w:rsidR="00320E1A">
        <w:t>11</w:t>
      </w:r>
      <w:r>
        <w:fldChar w:fldCharType="end"/>
      </w:r>
    </w:p>
    <w:p w14:paraId="7E24C36E"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19.</w:t>
      </w:r>
      <w:r>
        <w:rPr>
          <w:rFonts w:asciiTheme="minorHAnsi" w:eastAsiaTheme="minorEastAsia" w:hAnsiTheme="minorHAnsi" w:cstheme="minorBidi"/>
          <w:sz w:val="24"/>
          <w:szCs w:val="24"/>
          <w:lang w:eastAsia="ja-JP"/>
        </w:rPr>
        <w:tab/>
      </w:r>
      <w:r>
        <w:t>Data protection impact assessments</w:t>
      </w:r>
      <w:r>
        <w:tab/>
      </w:r>
      <w:r>
        <w:fldChar w:fldCharType="begin"/>
      </w:r>
      <w:r>
        <w:instrText xml:space="preserve"> PAGEREF _Toc421277321 \h </w:instrText>
      </w:r>
      <w:r>
        <w:fldChar w:fldCharType="separate"/>
      </w:r>
      <w:r w:rsidR="00320E1A">
        <w:t>11</w:t>
      </w:r>
      <w:r>
        <w:fldChar w:fldCharType="end"/>
      </w:r>
    </w:p>
    <w:p w14:paraId="636A3D48" w14:textId="77777777" w:rsidR="00954D12" w:rsidRDefault="00954D12">
      <w:pPr>
        <w:pStyle w:val="TOC3"/>
        <w:tabs>
          <w:tab w:val="left" w:pos="518"/>
        </w:tabs>
        <w:rPr>
          <w:rFonts w:asciiTheme="minorHAnsi" w:eastAsiaTheme="minorEastAsia" w:hAnsiTheme="minorHAnsi" w:cstheme="minorBidi"/>
          <w:sz w:val="24"/>
          <w:szCs w:val="24"/>
          <w:lang w:eastAsia="ja-JP"/>
        </w:rPr>
      </w:pPr>
      <w:r w:rsidRPr="00A76BB1">
        <w:rPr>
          <w:caps/>
        </w:rPr>
        <w:t>20.</w:t>
      </w:r>
      <w:r>
        <w:rPr>
          <w:rFonts w:asciiTheme="minorHAnsi" w:eastAsiaTheme="minorEastAsia" w:hAnsiTheme="minorHAnsi" w:cstheme="minorBidi"/>
          <w:sz w:val="24"/>
          <w:szCs w:val="24"/>
          <w:lang w:eastAsia="ja-JP"/>
        </w:rPr>
        <w:tab/>
      </w:r>
      <w:r>
        <w:t>Dealing with data protection breaches</w:t>
      </w:r>
      <w:r>
        <w:tab/>
      </w:r>
      <w:r>
        <w:fldChar w:fldCharType="begin"/>
      </w:r>
      <w:r>
        <w:instrText xml:space="preserve"> PAGEREF _Toc421277322 \h </w:instrText>
      </w:r>
      <w:r>
        <w:fldChar w:fldCharType="separate"/>
      </w:r>
      <w:r w:rsidR="00320E1A">
        <w:t>11</w:t>
      </w:r>
      <w:r>
        <w:fldChar w:fldCharType="end"/>
      </w:r>
    </w:p>
    <w:p w14:paraId="7DBDE9C4" w14:textId="77777777" w:rsidR="00954D12" w:rsidRDefault="00954D12">
      <w:pPr>
        <w:pStyle w:val="TOC3"/>
        <w:rPr>
          <w:rFonts w:asciiTheme="minorHAnsi" w:eastAsiaTheme="minorEastAsia" w:hAnsiTheme="minorHAnsi" w:cstheme="minorBidi"/>
          <w:sz w:val="24"/>
          <w:szCs w:val="24"/>
          <w:lang w:eastAsia="ja-JP"/>
        </w:rPr>
      </w:pPr>
      <w:r w:rsidRPr="00A76BB1">
        <w:rPr>
          <w:u w:val="single"/>
        </w:rPr>
        <w:t>Schedule 1 – Definitions and useful terms</w:t>
      </w:r>
      <w:r>
        <w:tab/>
      </w:r>
      <w:r>
        <w:fldChar w:fldCharType="begin"/>
      </w:r>
      <w:r>
        <w:instrText xml:space="preserve"> PAGEREF _Toc421277323 \h </w:instrText>
      </w:r>
      <w:r>
        <w:fldChar w:fldCharType="separate"/>
      </w:r>
      <w:r w:rsidR="00320E1A">
        <w:t>12</w:t>
      </w:r>
      <w:r>
        <w:fldChar w:fldCharType="end"/>
      </w:r>
    </w:p>
    <w:p w14:paraId="61B27E5F" w14:textId="37EF329F" w:rsidR="002D5514" w:rsidRPr="002D5514" w:rsidRDefault="00E80A8B" w:rsidP="007A23A1">
      <w:pPr>
        <w:pStyle w:val="TOC3"/>
      </w:pPr>
      <w:r w:rsidRPr="00B5172D">
        <w:rPr>
          <w:rFonts w:cs="Arial"/>
          <w:szCs w:val="22"/>
        </w:rPr>
        <w:fldChar w:fldCharType="end"/>
      </w:r>
      <w:bookmarkStart w:id="1" w:name="_Toc499631251"/>
      <w:bookmarkStart w:id="2" w:name="_Toc499647674"/>
      <w:bookmarkEnd w:id="1"/>
      <w:bookmarkEnd w:id="2"/>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3" w:name="_Toc499631252"/>
      <w:bookmarkStart w:id="4" w:name="_Toc499647675"/>
      <w:bookmarkStart w:id="5" w:name="_Toc499631253"/>
      <w:bookmarkStart w:id="6" w:name="_Toc499647676"/>
      <w:bookmarkStart w:id="7" w:name="_Toc499631254"/>
      <w:bookmarkStart w:id="8" w:name="_Toc499647677"/>
      <w:bookmarkStart w:id="9" w:name="_Toc499631255"/>
      <w:bookmarkStart w:id="10" w:name="_Toc499647678"/>
      <w:bookmarkStart w:id="11" w:name="_Toc499631256"/>
      <w:bookmarkStart w:id="12" w:name="_Toc499647679"/>
      <w:bookmarkStart w:id="13" w:name="_Toc499631257"/>
      <w:bookmarkStart w:id="14" w:name="_Toc499647680"/>
      <w:bookmarkStart w:id="15" w:name="_Toc499631258"/>
      <w:bookmarkStart w:id="16" w:name="_Toc499647681"/>
      <w:bookmarkStart w:id="17" w:name="_Toc499631259"/>
      <w:bookmarkStart w:id="18" w:name="_Toc499647682"/>
      <w:bookmarkStart w:id="19" w:name="_Toc499631260"/>
      <w:bookmarkStart w:id="20" w:name="_Toc499647683"/>
      <w:bookmarkStart w:id="21" w:name="_Toc499629793"/>
      <w:bookmarkStart w:id="22" w:name="_Toc499629876"/>
      <w:bookmarkStart w:id="23" w:name="_Toc499631261"/>
      <w:bookmarkStart w:id="24" w:name="_Toc499647684"/>
      <w:bookmarkStart w:id="25" w:name="_Toc499629794"/>
      <w:bookmarkStart w:id="26" w:name="_Toc499629877"/>
      <w:bookmarkStart w:id="27" w:name="_Toc499631262"/>
      <w:bookmarkStart w:id="28" w:name="_Toc499647685"/>
      <w:bookmarkStart w:id="29" w:name="_Toc499629795"/>
      <w:bookmarkStart w:id="30" w:name="_Toc499629878"/>
      <w:bookmarkStart w:id="31" w:name="_Toc499631263"/>
      <w:bookmarkStart w:id="32" w:name="_Toc499647686"/>
      <w:bookmarkStart w:id="33" w:name="_Toc499629796"/>
      <w:bookmarkStart w:id="34" w:name="_Toc499629879"/>
      <w:bookmarkStart w:id="35" w:name="_Toc499631264"/>
      <w:bookmarkStart w:id="36" w:name="_Toc499647687"/>
      <w:bookmarkStart w:id="37" w:name="_Toc499629797"/>
      <w:bookmarkStart w:id="38" w:name="_Toc499629880"/>
      <w:bookmarkStart w:id="39" w:name="_Toc499631265"/>
      <w:bookmarkStart w:id="40" w:name="_Toc499647688"/>
      <w:bookmarkStart w:id="41" w:name="_Toc499629798"/>
      <w:bookmarkStart w:id="42" w:name="_Toc499629881"/>
      <w:bookmarkStart w:id="43" w:name="_Toc499631266"/>
      <w:bookmarkStart w:id="44" w:name="_Toc499647689"/>
      <w:bookmarkStart w:id="45" w:name="_Toc499629799"/>
      <w:bookmarkStart w:id="46" w:name="_Toc499629882"/>
      <w:bookmarkStart w:id="47" w:name="_Toc499631267"/>
      <w:bookmarkStart w:id="48" w:name="_Toc499647690"/>
      <w:bookmarkStart w:id="49" w:name="_Toc499629800"/>
      <w:bookmarkStart w:id="50" w:name="_Toc499629883"/>
      <w:bookmarkStart w:id="51" w:name="_Toc499631268"/>
      <w:bookmarkStart w:id="52" w:name="_Toc499647691"/>
      <w:bookmarkStart w:id="53" w:name="_Toc499629801"/>
      <w:bookmarkStart w:id="54" w:name="_Toc499629884"/>
      <w:bookmarkStart w:id="55" w:name="_Toc499631269"/>
      <w:bookmarkStart w:id="56" w:name="_Toc499647692"/>
      <w:bookmarkStart w:id="57" w:name="_Toc499629802"/>
      <w:bookmarkStart w:id="58" w:name="_Toc499629885"/>
      <w:bookmarkStart w:id="59" w:name="_Toc499631270"/>
      <w:bookmarkStart w:id="60" w:name="_Toc499647693"/>
      <w:bookmarkStart w:id="61" w:name="main"/>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b/>
          <w:u w:val="single"/>
        </w:rPr>
        <w:br w:type="page"/>
      </w:r>
    </w:p>
    <w:p w14:paraId="144EB61F" w14:textId="3CD18F29" w:rsidR="00C13FD3" w:rsidRPr="00923CFC" w:rsidRDefault="00C13FD3" w:rsidP="00923CFC">
      <w:pPr>
        <w:pStyle w:val="Heading1"/>
        <w:numPr>
          <w:ilvl w:val="0"/>
          <w:numId w:val="0"/>
        </w:numPr>
        <w:ind w:left="862" w:hanging="720"/>
        <w:rPr>
          <w:u w:val="single"/>
        </w:rPr>
      </w:pPr>
      <w:bookmarkStart w:id="62" w:name="_Toc421277298"/>
      <w:r w:rsidRPr="00923CFC">
        <w:rPr>
          <w:u w:val="single"/>
        </w:rPr>
        <w:lastRenderedPageBreak/>
        <w:t xml:space="preserve">Section </w:t>
      </w:r>
      <w:r w:rsidR="00CE5DE3" w:rsidRPr="00923CFC">
        <w:rPr>
          <w:u w:val="single"/>
        </w:rPr>
        <w:t>A</w:t>
      </w:r>
      <w:r w:rsidRPr="00923CFC">
        <w:rPr>
          <w:u w:val="single"/>
        </w:rPr>
        <w:t xml:space="preserve"> –</w:t>
      </w:r>
      <w:r w:rsidR="00F06EA7" w:rsidRPr="00923CFC">
        <w:rPr>
          <w:u w:val="single"/>
        </w:rPr>
        <w:t xml:space="preserve"> W</w:t>
      </w:r>
      <w:r w:rsidR="00FB1998" w:rsidRPr="00923CFC">
        <w:rPr>
          <w:u w:val="single"/>
        </w:rPr>
        <w:t>hat this policy is for</w:t>
      </w:r>
      <w:bookmarkEnd w:id="62"/>
      <w:r w:rsidR="004803D1" w:rsidRPr="00923CFC">
        <w:rPr>
          <w:u w:val="single"/>
        </w:rPr>
        <w:t xml:space="preserve"> </w:t>
      </w:r>
    </w:p>
    <w:p w14:paraId="2AAD7CCF" w14:textId="097CB488" w:rsidR="00E80A8B" w:rsidRPr="00CE5DE3" w:rsidRDefault="00CE5DE3" w:rsidP="00B55E22">
      <w:pPr>
        <w:pStyle w:val="Heading1"/>
        <w:rPr>
          <w:smallCaps/>
        </w:rPr>
      </w:pPr>
      <w:bookmarkStart w:id="63" w:name="_Toc421277299"/>
      <w:r w:rsidRPr="00CE5DE3">
        <w:t>Policy statement</w:t>
      </w:r>
      <w:bookmarkEnd w:id="63"/>
    </w:p>
    <w:p w14:paraId="339160F2" w14:textId="32DF705D" w:rsidR="007C50FC" w:rsidRDefault="007C50FC" w:rsidP="007C50FC">
      <w:pPr>
        <w:pStyle w:val="Heading2"/>
        <w:numPr>
          <w:ilvl w:val="0"/>
          <w:numId w:val="0"/>
        </w:numPr>
        <w:spacing w:before="120" w:line="240" w:lineRule="auto"/>
        <w:ind w:left="720" w:hanging="720"/>
      </w:pPr>
      <w:r>
        <w:rPr>
          <w:szCs w:val="22"/>
        </w:rPr>
        <w:t>1.1</w:t>
      </w:r>
      <w:r>
        <w:rPr>
          <w:szCs w:val="22"/>
        </w:rPr>
        <w:tab/>
      </w:r>
      <w:proofErr w:type="spellStart"/>
      <w:r w:rsidR="00AF5A70">
        <w:rPr>
          <w:szCs w:val="22"/>
        </w:rPr>
        <w:t>SeeKenya</w:t>
      </w:r>
      <w:proofErr w:type="spellEnd"/>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proofErr w:type="gramStart"/>
      <w:r w:rsidR="00040451">
        <w:t>;</w:t>
      </w:r>
      <w:proofErr w:type="gramEnd"/>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B03AC97" w:rsidR="00E73E59" w:rsidRDefault="00E73E59" w:rsidP="006769F8">
      <w:pPr>
        <w:pStyle w:val="Heading3"/>
        <w:numPr>
          <w:ilvl w:val="2"/>
          <w:numId w:val="29"/>
        </w:numPr>
      </w:pPr>
      <w:proofErr w:type="gramStart"/>
      <w:r>
        <w:t>maint</w:t>
      </w:r>
      <w:r w:rsidR="00D47842">
        <w:t>ain</w:t>
      </w:r>
      <w:proofErr w:type="gramEnd"/>
      <w:r w:rsidR="00D47842">
        <w:t xml:space="preserve"> our list of </w:t>
      </w:r>
      <w:r w:rsidR="00AF5A70">
        <w:t>supporters and donors</w:t>
      </w:r>
      <w:r w:rsidR="00B513F1">
        <w:t>;</w:t>
      </w:r>
    </w:p>
    <w:p w14:paraId="1B215927" w14:textId="37BBBEA2" w:rsidR="007C50FC" w:rsidRPr="00E73E59" w:rsidRDefault="007C50FC" w:rsidP="006769F8">
      <w:pPr>
        <w:pStyle w:val="Heading3"/>
        <w:numPr>
          <w:ilvl w:val="2"/>
          <w:numId w:val="29"/>
        </w:numPr>
      </w:pPr>
      <w:proofErr w:type="gramStart"/>
      <w:r w:rsidRPr="00E73E59">
        <w:t>safeguard</w:t>
      </w:r>
      <w:proofErr w:type="gramEnd"/>
      <w:r w:rsidRPr="00E73E59">
        <w:t xml:space="preserve"> </w:t>
      </w:r>
      <w:r w:rsidR="00E73E59" w:rsidRPr="00E73E59">
        <w:t>children, young people and adults at risk</w:t>
      </w:r>
      <w:r w:rsidR="00B513F1">
        <w:t>;</w:t>
      </w:r>
    </w:p>
    <w:p w14:paraId="04ACE883" w14:textId="2ABE8142" w:rsidR="007C50FC" w:rsidRPr="00E73E59" w:rsidRDefault="007C4F71" w:rsidP="00D47842">
      <w:pPr>
        <w:pStyle w:val="Heading3"/>
        <w:numPr>
          <w:ilvl w:val="2"/>
          <w:numId w:val="29"/>
        </w:numPr>
      </w:pPr>
      <w:proofErr w:type="gramStart"/>
      <w:r>
        <w:t>recruit</w:t>
      </w:r>
      <w:proofErr w:type="gramEnd"/>
      <w:r>
        <w:t xml:space="preserve">, </w:t>
      </w:r>
      <w:r w:rsidR="007C50FC">
        <w:t xml:space="preserve">support and manage </w:t>
      </w:r>
      <w:r w:rsidR="00E73E59">
        <w:t>staff and volunteers</w:t>
      </w:r>
      <w:r w:rsidR="007C50FC">
        <w:t>;</w:t>
      </w:r>
    </w:p>
    <w:p w14:paraId="7860ACCC" w14:textId="77777777" w:rsidR="007C50FC" w:rsidRDefault="007C50FC" w:rsidP="006769F8">
      <w:pPr>
        <w:pStyle w:val="Heading3"/>
        <w:numPr>
          <w:ilvl w:val="2"/>
          <w:numId w:val="29"/>
        </w:numPr>
      </w:pPr>
      <w:proofErr w:type="gramStart"/>
      <w:r>
        <w:t>maintain</w:t>
      </w:r>
      <w:proofErr w:type="gramEnd"/>
      <w:r>
        <w:t xml:space="preserve"> our accounts and records; </w:t>
      </w:r>
    </w:p>
    <w:p w14:paraId="6A64E0C4" w14:textId="1700E0BE" w:rsidR="00E73E59" w:rsidRDefault="007C50FC" w:rsidP="00D47842">
      <w:pPr>
        <w:pStyle w:val="Heading3"/>
        <w:numPr>
          <w:ilvl w:val="2"/>
          <w:numId w:val="29"/>
        </w:numPr>
      </w:pPr>
      <w:proofErr w:type="gramStart"/>
      <w:r>
        <w:t>promote</w:t>
      </w:r>
      <w:proofErr w:type="gramEnd"/>
      <w:r>
        <w:t xml:space="preserve"> our </w:t>
      </w:r>
      <w:r w:rsidR="00D47842">
        <w:t>activities</w:t>
      </w:r>
      <w:r>
        <w:t>;</w:t>
      </w:r>
    </w:p>
    <w:p w14:paraId="78F1EA37" w14:textId="32562EE7" w:rsidR="007C50FC" w:rsidRDefault="00E73E59" w:rsidP="00D47842">
      <w:pPr>
        <w:pStyle w:val="Heading3"/>
        <w:numPr>
          <w:ilvl w:val="2"/>
          <w:numId w:val="29"/>
        </w:numPr>
      </w:pPr>
      <w:proofErr w:type="gramStart"/>
      <w:r>
        <w:t>respond</w:t>
      </w:r>
      <w:proofErr w:type="gramEnd"/>
      <w:r>
        <w:t xml:space="preserve"> effectively to enquirers</w:t>
      </w:r>
      <w:r w:rsidR="007C52BA">
        <w:t xml:space="preserve"> and handle any complaints;</w:t>
      </w:r>
    </w:p>
    <w:p w14:paraId="2B388515" w14:textId="14ED392B" w:rsidR="007C52BA" w:rsidRPr="00E73E59" w:rsidRDefault="007C52BA" w:rsidP="00D47842">
      <w:pPr>
        <w:pStyle w:val="Heading3"/>
        <w:numPr>
          <w:ilvl w:val="2"/>
          <w:numId w:val="29"/>
        </w:numPr>
      </w:pPr>
      <w:proofErr w:type="gramStart"/>
      <w:r>
        <w:t>provide</w:t>
      </w:r>
      <w:proofErr w:type="gramEnd"/>
      <w:r>
        <w:t xml:space="preserve"> healthcare in our clinics and referrals for further treatment.</w:t>
      </w:r>
    </w:p>
    <w:p w14:paraId="48D5FBAD" w14:textId="6DEE76AA" w:rsidR="003241E3" w:rsidRPr="003241E3" w:rsidRDefault="003241E3" w:rsidP="00E73E59">
      <w:pPr>
        <w:pStyle w:val="Heading2"/>
        <w:numPr>
          <w:ilvl w:val="1"/>
          <w:numId w:val="29"/>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w:t>
      </w:r>
      <w:r w:rsidR="00E73E59">
        <w:rPr>
          <w:rFonts w:cs="Arial"/>
          <w:szCs w:val="22"/>
        </w:rPr>
        <w:t>Charity 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794AA8">
      <w:pPr>
        <w:pStyle w:val="Heading1"/>
        <w:numPr>
          <w:ilvl w:val="0"/>
          <w:numId w:val="29"/>
        </w:numPr>
      </w:pPr>
      <w:bookmarkStart w:id="64" w:name="_Toc421277300"/>
      <w:r>
        <w:t>W</w:t>
      </w:r>
      <w:r w:rsidR="008F7C5E">
        <w:t>hy</w:t>
      </w:r>
      <w:r>
        <w:t xml:space="preserve"> </w:t>
      </w:r>
      <w:r w:rsidR="0050784C">
        <w:t>this policy</w:t>
      </w:r>
      <w:r>
        <w:t xml:space="preserve"> </w:t>
      </w:r>
      <w:r w:rsidR="008F7C5E">
        <w:t>is important</w:t>
      </w:r>
      <w:bookmarkEnd w:id="64"/>
    </w:p>
    <w:p w14:paraId="5BB257F0" w14:textId="3727251B" w:rsidR="006D51C4" w:rsidRDefault="00D438C2" w:rsidP="00794AA8">
      <w:pPr>
        <w:pStyle w:val="Heading2"/>
        <w:numPr>
          <w:ilvl w:val="1"/>
          <w:numId w:val="29"/>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794AA8">
      <w:pPr>
        <w:pStyle w:val="Heading2"/>
        <w:numPr>
          <w:ilvl w:val="1"/>
          <w:numId w:val="29"/>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794AA8">
      <w:pPr>
        <w:pStyle w:val="Heading2"/>
        <w:numPr>
          <w:ilvl w:val="1"/>
          <w:numId w:val="29"/>
        </w:numPr>
      </w:pPr>
      <w:r>
        <w:t>In particular, we will make sure that all personal data is</w:t>
      </w:r>
      <w:r w:rsidR="00F728F3" w:rsidRPr="00C8624E">
        <w:t>:</w:t>
      </w:r>
    </w:p>
    <w:p w14:paraId="7177FFEC" w14:textId="7E3A1669" w:rsidR="00F728F3" w:rsidRPr="00C8624E" w:rsidRDefault="00F728F3" w:rsidP="006769F8">
      <w:pPr>
        <w:pStyle w:val="Heading3"/>
        <w:numPr>
          <w:ilvl w:val="0"/>
          <w:numId w:val="31"/>
        </w:numPr>
        <w:rPr>
          <w:rFonts w:cs="Arial"/>
        </w:rPr>
      </w:pPr>
      <w:proofErr w:type="gramStart"/>
      <w:r>
        <w:rPr>
          <w:rFonts w:cs="Arial"/>
        </w:rPr>
        <w:t>p</w:t>
      </w:r>
      <w:r w:rsidRPr="00C8624E">
        <w:rPr>
          <w:rFonts w:cs="Arial"/>
        </w:rPr>
        <w:t>rocessed</w:t>
      </w:r>
      <w:proofErr w:type="gramEnd"/>
      <w:r w:rsidRPr="00C8624E">
        <w:rPr>
          <w:rFonts w:cs="Arial"/>
        </w:rPr>
        <w:t xml:space="preserve"> </w:t>
      </w:r>
      <w:r w:rsidRPr="00FE073B">
        <w:rPr>
          <w:rFonts w:cs="Arial"/>
          <w:b/>
        </w:rPr>
        <w:t>lawfully, fairly and in a transparent manner</w:t>
      </w:r>
      <w:r w:rsidRPr="00C8624E">
        <w:rPr>
          <w:rFonts w:cs="Arial"/>
        </w:rPr>
        <w:t>;</w:t>
      </w:r>
    </w:p>
    <w:p w14:paraId="23A1F493" w14:textId="157AB435" w:rsidR="00F728F3" w:rsidRPr="00C8624E" w:rsidRDefault="00F728F3" w:rsidP="006769F8">
      <w:pPr>
        <w:pStyle w:val="Heading3"/>
        <w:numPr>
          <w:ilvl w:val="0"/>
          <w:numId w:val="31"/>
        </w:numPr>
        <w:rPr>
          <w:rFonts w:cs="Arial"/>
          <w:szCs w:val="22"/>
        </w:rPr>
      </w:pPr>
      <w:proofErr w:type="gramStart"/>
      <w:r>
        <w:rPr>
          <w:rFonts w:cs="Arial"/>
          <w:szCs w:val="22"/>
        </w:rPr>
        <w:t>p</w:t>
      </w:r>
      <w:r w:rsidRPr="00C8624E">
        <w:rPr>
          <w:rFonts w:cs="Arial"/>
          <w:szCs w:val="22"/>
        </w:rPr>
        <w:t>rocessed</w:t>
      </w:r>
      <w:proofErr w:type="gramEnd"/>
      <w:r w:rsidRPr="00C8624E">
        <w:rPr>
          <w:rFonts w:cs="Arial"/>
          <w:szCs w:val="22"/>
        </w:rPr>
        <w:t xml:space="preserve"> for </w:t>
      </w:r>
      <w:r w:rsidRPr="00FE073B">
        <w:rPr>
          <w:rFonts w:cs="Arial"/>
          <w:b/>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6769F8">
      <w:pPr>
        <w:pStyle w:val="Heading3"/>
        <w:numPr>
          <w:ilvl w:val="0"/>
          <w:numId w:val="31"/>
        </w:numPr>
        <w:rPr>
          <w:rFonts w:cs="Arial"/>
          <w:szCs w:val="22"/>
        </w:rPr>
      </w:pPr>
      <w:proofErr w:type="gramStart"/>
      <w:r w:rsidRPr="00FE073B">
        <w:rPr>
          <w:rFonts w:cs="Arial"/>
          <w:b/>
          <w:szCs w:val="22"/>
        </w:rPr>
        <w:t>adequate</w:t>
      </w:r>
      <w:proofErr w:type="gramEnd"/>
      <w:r w:rsidRPr="00FE073B">
        <w:rPr>
          <w:rFonts w:cs="Arial"/>
          <w:b/>
          <w:szCs w:val="22"/>
        </w:rPr>
        <w:t>,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6769F8">
      <w:pPr>
        <w:pStyle w:val="Heading3"/>
        <w:numPr>
          <w:ilvl w:val="0"/>
          <w:numId w:val="31"/>
        </w:numPr>
        <w:rPr>
          <w:rFonts w:cs="Arial"/>
          <w:szCs w:val="22"/>
        </w:rPr>
      </w:pPr>
      <w:proofErr w:type="gramStart"/>
      <w:r w:rsidRPr="00FE073B">
        <w:rPr>
          <w:rFonts w:cs="Arial"/>
          <w:b/>
          <w:szCs w:val="22"/>
        </w:rPr>
        <w:t>accurate</w:t>
      </w:r>
      <w:proofErr w:type="gramEnd"/>
      <w:r>
        <w:rPr>
          <w:rFonts w:cs="Arial"/>
          <w:szCs w:val="22"/>
        </w:rPr>
        <w:t xml:space="preserve"> and, where necessary, up to date</w:t>
      </w:r>
      <w:r w:rsidRPr="00C8624E">
        <w:rPr>
          <w:rFonts w:cs="Arial"/>
          <w:szCs w:val="22"/>
        </w:rPr>
        <w:t>;</w:t>
      </w:r>
    </w:p>
    <w:p w14:paraId="5B3FE29C" w14:textId="73D03974" w:rsidR="00F728F3" w:rsidRPr="00C8624E" w:rsidRDefault="00F728F3" w:rsidP="006769F8">
      <w:pPr>
        <w:pStyle w:val="Heading3"/>
        <w:numPr>
          <w:ilvl w:val="0"/>
          <w:numId w:val="31"/>
        </w:numPr>
        <w:rPr>
          <w:rFonts w:cs="Arial"/>
          <w:szCs w:val="22"/>
        </w:rPr>
      </w:pPr>
      <w:proofErr w:type="gramStart"/>
      <w:r w:rsidRPr="00FE073B">
        <w:rPr>
          <w:rFonts w:cs="Arial"/>
          <w:b/>
          <w:szCs w:val="22"/>
        </w:rPr>
        <w:t>not</w:t>
      </w:r>
      <w:proofErr w:type="gramEnd"/>
      <w:r w:rsidRPr="00FE073B">
        <w:rPr>
          <w:rFonts w:cs="Arial"/>
          <w:b/>
          <w:szCs w:val="22"/>
        </w:rPr>
        <w:t xml:space="preserve">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6769F8">
      <w:pPr>
        <w:pStyle w:val="Heading3"/>
        <w:numPr>
          <w:ilvl w:val="0"/>
          <w:numId w:val="31"/>
        </w:numPr>
        <w:rPr>
          <w:rFonts w:cs="Arial"/>
          <w:szCs w:val="22"/>
        </w:rPr>
      </w:pPr>
      <w:proofErr w:type="gramStart"/>
      <w:r>
        <w:rPr>
          <w:rFonts w:cs="Arial"/>
          <w:szCs w:val="22"/>
        </w:rPr>
        <w:t>processed</w:t>
      </w:r>
      <w:proofErr w:type="gramEnd"/>
      <w:r>
        <w:rPr>
          <w:rFonts w:cs="Arial"/>
          <w:szCs w:val="22"/>
        </w:rPr>
        <w:t xml:space="preserve">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6769F8">
      <w:pPr>
        <w:pStyle w:val="Heading3"/>
        <w:numPr>
          <w:ilvl w:val="0"/>
          <w:numId w:val="31"/>
        </w:numPr>
        <w:rPr>
          <w:rFonts w:cs="Arial"/>
          <w:szCs w:val="22"/>
        </w:rPr>
      </w:pPr>
      <w:proofErr w:type="gramStart"/>
      <w:r>
        <w:rPr>
          <w:rFonts w:cs="Arial"/>
          <w:szCs w:val="22"/>
        </w:rPr>
        <w:lastRenderedPageBreak/>
        <w:t>processed</w:t>
      </w:r>
      <w:proofErr w:type="gramEnd"/>
      <w:r>
        <w:rPr>
          <w:rFonts w:cs="Arial"/>
          <w:szCs w:val="22"/>
        </w:rPr>
        <w:t xml:space="preserve">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794AA8">
      <w:pPr>
        <w:pStyle w:val="Heading1"/>
        <w:numPr>
          <w:ilvl w:val="0"/>
          <w:numId w:val="29"/>
        </w:numPr>
      </w:pPr>
      <w:bookmarkStart w:id="65" w:name="_Toc421277301"/>
      <w:r>
        <w:t>How this policy applies to you</w:t>
      </w:r>
      <w:r w:rsidR="003241E3">
        <w:t xml:space="preserve"> </w:t>
      </w:r>
      <w:r w:rsidR="00C23BA5">
        <w:t xml:space="preserve">&amp; </w:t>
      </w:r>
      <w:r w:rsidR="008F7C5E">
        <w:t>what you need to know</w:t>
      </w:r>
      <w:bookmarkEnd w:id="65"/>
    </w:p>
    <w:p w14:paraId="6318B836" w14:textId="77CE85E2" w:rsidR="00867CBC" w:rsidRDefault="0092780E" w:rsidP="00096902">
      <w:pPr>
        <w:pStyle w:val="Heading2"/>
        <w:numPr>
          <w:ilvl w:val="1"/>
          <w:numId w:val="29"/>
        </w:numPr>
      </w:pPr>
      <w:r w:rsidRPr="00471BEE">
        <w:rPr>
          <w:b/>
        </w:rPr>
        <w:t xml:space="preserve">As </w:t>
      </w:r>
      <w:r w:rsidR="00B30F6E" w:rsidRPr="00471BEE">
        <w:rPr>
          <w:b/>
        </w:rPr>
        <w:t>an employee</w:t>
      </w:r>
      <w:r w:rsidR="00E73E59" w:rsidRPr="00471BEE">
        <w:rPr>
          <w:b/>
        </w:rPr>
        <w:t xml:space="preserve">, trustee or volunteer </w:t>
      </w:r>
      <w:r w:rsidR="00E73E59" w:rsidRPr="00E73E59">
        <w:t>processing per</w:t>
      </w:r>
      <w:r w:rsidR="00E73E59">
        <w:t xml:space="preserve">sonal information on behalf of the </w:t>
      </w:r>
      <w:r w:rsidR="00ED1DF7">
        <w:t>charity</w:t>
      </w:r>
      <w:r w:rsidR="00E73E59">
        <w:t>, y</w:t>
      </w:r>
      <w:r w:rsidRPr="00C8624E">
        <w:t>ou are requ</w:t>
      </w:r>
      <w:r w:rsidR="00E73E59">
        <w:t xml:space="preserve">ired to comply with this policy. </w:t>
      </w:r>
      <w:r w:rsidRPr="00C8624E">
        <w:t xml:space="preserve">If you </w:t>
      </w:r>
      <w:r w:rsidR="00905BB5">
        <w:t xml:space="preserve">think </w:t>
      </w:r>
      <w:r w:rsidRPr="00C8624E">
        <w:t xml:space="preserve">that you have accidentally breached the policy it is </w:t>
      </w:r>
      <w:r>
        <w:t xml:space="preserve">important that you contact </w:t>
      </w:r>
      <w:r w:rsidRPr="0098068F">
        <w:t xml:space="preserve">our Data Protection </w:t>
      </w:r>
      <w:r w:rsidR="00D47842">
        <w:t>Contact</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2654D34D" w:rsidR="00B30F6E" w:rsidRPr="003945C3" w:rsidRDefault="00D47842" w:rsidP="00794AA8">
      <w:pPr>
        <w:pStyle w:val="Heading2"/>
        <w:numPr>
          <w:ilvl w:val="1"/>
          <w:numId w:val="29"/>
        </w:numPr>
        <w:rPr>
          <w:rFonts w:cs="Arial"/>
          <w:b/>
          <w:szCs w:val="22"/>
        </w:rPr>
      </w:pPr>
      <w:r>
        <w:rPr>
          <w:rFonts w:cs="Arial"/>
          <w:b/>
          <w:szCs w:val="22"/>
        </w:rPr>
        <w:t>As a group or team leader</w:t>
      </w:r>
      <w:r w:rsidR="00B30F6E"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62CF5813" w:rsidR="003241E3" w:rsidRPr="00C8624E" w:rsidRDefault="003241E3" w:rsidP="00794AA8">
      <w:pPr>
        <w:pStyle w:val="Heading2"/>
        <w:numPr>
          <w:ilvl w:val="1"/>
          <w:numId w:val="29"/>
        </w:numPr>
        <w:rPr>
          <w:rFonts w:cs="Arial"/>
          <w:szCs w:val="22"/>
        </w:rPr>
      </w:pPr>
      <w:r w:rsidRPr="00C8624E">
        <w:rPr>
          <w:rFonts w:cs="Arial"/>
          <w:b/>
          <w:szCs w:val="22"/>
        </w:rPr>
        <w:t xml:space="preserve">As a data subject </w:t>
      </w:r>
      <w:r w:rsidR="00EF3ABD" w:rsidRPr="00E73E59">
        <w:rPr>
          <w:rFonts w:cs="Arial"/>
          <w:b/>
          <w:szCs w:val="22"/>
        </w:rPr>
        <w:t xml:space="preserve">of </w:t>
      </w:r>
      <w:proofErr w:type="spellStart"/>
      <w:r w:rsidR="00AF5A70">
        <w:rPr>
          <w:rFonts w:cs="Arial"/>
          <w:b/>
          <w:szCs w:val="22"/>
        </w:rPr>
        <w:t>SeeKenya</w:t>
      </w:r>
      <w:proofErr w:type="spellEnd"/>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2C9661A3" w:rsidR="0092780E" w:rsidRPr="00C8624E" w:rsidRDefault="0092780E" w:rsidP="00794AA8">
      <w:pPr>
        <w:pStyle w:val="Heading2"/>
        <w:numPr>
          <w:ilvl w:val="1"/>
          <w:numId w:val="29"/>
        </w:numPr>
        <w:rPr>
          <w:rFonts w:cs="Arial"/>
          <w:szCs w:val="22"/>
        </w:rPr>
      </w:pPr>
      <w:r w:rsidRPr="00C8624E">
        <w:rPr>
          <w:rFonts w:cs="Arial"/>
          <w:b/>
          <w:szCs w:val="22"/>
        </w:rPr>
        <w:t>As an appointed data processor</w:t>
      </w:r>
      <w:r>
        <w:rPr>
          <w:rFonts w:cs="Arial"/>
          <w:b/>
          <w:szCs w:val="22"/>
        </w:rPr>
        <w:t>/contractor</w:t>
      </w:r>
      <w:r w:rsidRPr="00C8624E">
        <w:rPr>
          <w:rFonts w:cs="Arial"/>
          <w:b/>
          <w:szCs w:val="22"/>
        </w:rPr>
        <w:t>:</w:t>
      </w:r>
      <w:r w:rsidRPr="00C8624E">
        <w:rPr>
          <w:rFonts w:cs="Arial"/>
          <w:szCs w:val="22"/>
        </w:rPr>
        <w:t xml:space="preserve"> </w:t>
      </w:r>
      <w:r w:rsidR="00EF3ABD">
        <w:rPr>
          <w:rFonts w:cs="Arial"/>
          <w:szCs w:val="22"/>
        </w:rPr>
        <w:t xml:space="preserve">Companies who </w:t>
      </w:r>
      <w:r w:rsidRPr="00C8624E">
        <w:rPr>
          <w:rFonts w:cs="Arial"/>
          <w:szCs w:val="22"/>
        </w:rPr>
        <w:t>are appointed by us as a data processor</w:t>
      </w:r>
      <w:r w:rsidR="00867CBC">
        <w:rPr>
          <w:rFonts w:cs="Arial"/>
          <w:szCs w:val="22"/>
        </w:rPr>
        <w:t xml:space="preserve"> </w:t>
      </w:r>
      <w:r w:rsidRPr="00C8624E">
        <w:rPr>
          <w:rFonts w:cs="Arial"/>
          <w:szCs w:val="22"/>
        </w:rPr>
        <w:t xml:space="preserve">are required to comply with this policy under </w:t>
      </w:r>
      <w:r w:rsidR="00EF3ABD">
        <w:rPr>
          <w:rFonts w:cs="Arial"/>
          <w:szCs w:val="22"/>
        </w:rPr>
        <w:t xml:space="preserve">the </w:t>
      </w:r>
      <w:r w:rsidRPr="00C8624E">
        <w:rPr>
          <w:rFonts w:cs="Arial"/>
          <w:szCs w:val="22"/>
        </w:rPr>
        <w:t xml:space="preserve">contract with us. Any breach of the policy will be taken seriously and could lead to </w:t>
      </w:r>
      <w:r w:rsidR="00436AAA">
        <w:rPr>
          <w:rFonts w:cs="Arial"/>
          <w:szCs w:val="22"/>
        </w:rPr>
        <w:t xml:space="preserve">us taking </w:t>
      </w:r>
      <w:r w:rsidRPr="00C8624E">
        <w:rPr>
          <w:rFonts w:cs="Arial"/>
          <w:szCs w:val="22"/>
        </w:rPr>
        <w:t>contract enforcement action</w:t>
      </w:r>
      <w:r w:rsidR="00436AAA">
        <w:rPr>
          <w:rFonts w:cs="Arial"/>
          <w:szCs w:val="22"/>
        </w:rPr>
        <w:t xml:space="preserve"> against </w:t>
      </w:r>
      <w:r w:rsidR="00EF3ABD">
        <w:rPr>
          <w:rFonts w:cs="Arial"/>
          <w:szCs w:val="22"/>
        </w:rPr>
        <w:t xml:space="preserve">the company, </w:t>
      </w:r>
      <w:r w:rsidRPr="00C8624E">
        <w:rPr>
          <w:rFonts w:cs="Arial"/>
          <w:szCs w:val="22"/>
        </w:rPr>
        <w:t>or</w:t>
      </w:r>
      <w:r w:rsidR="00436AAA">
        <w:rPr>
          <w:rFonts w:cs="Arial"/>
          <w:szCs w:val="22"/>
        </w:rPr>
        <w:t xml:space="preserve"> terminati</w:t>
      </w:r>
      <w:r w:rsidRPr="00C8624E">
        <w:rPr>
          <w:rFonts w:cs="Arial"/>
          <w:szCs w:val="22"/>
        </w:rPr>
        <w:t>n</w:t>
      </w:r>
      <w:r w:rsidR="00436AAA">
        <w:rPr>
          <w:rFonts w:cs="Arial"/>
          <w:szCs w:val="22"/>
        </w:rPr>
        <w:t>g</w:t>
      </w:r>
      <w:r w:rsidRPr="00C8624E">
        <w:rPr>
          <w:rFonts w:cs="Arial"/>
          <w:szCs w:val="22"/>
        </w:rPr>
        <w:t xml:space="preserve"> the contract.</w:t>
      </w:r>
      <w:r>
        <w:rPr>
          <w:rFonts w:cs="Arial"/>
          <w:szCs w:val="22"/>
        </w:rPr>
        <w:t xml:space="preserve"> </w:t>
      </w:r>
      <w:r w:rsidR="00EF3ABD">
        <w:rPr>
          <w:rFonts w:cs="Arial"/>
          <w:szCs w:val="22"/>
        </w:rPr>
        <w:t>D</w:t>
      </w:r>
      <w:r>
        <w:rPr>
          <w:rFonts w:cs="Arial"/>
          <w:szCs w:val="22"/>
        </w:rPr>
        <w:t>ata processor</w:t>
      </w:r>
      <w:r w:rsidR="00EF3ABD">
        <w:rPr>
          <w:rFonts w:cs="Arial"/>
          <w:szCs w:val="22"/>
        </w:rPr>
        <w:t>s</w:t>
      </w:r>
      <w:r w:rsidR="00436AAA">
        <w:rPr>
          <w:rFonts w:cs="Arial"/>
          <w:szCs w:val="22"/>
        </w:rPr>
        <w:t xml:space="preserve"> </w:t>
      </w:r>
      <w:r>
        <w:rPr>
          <w:rFonts w:cs="Arial"/>
          <w:szCs w:val="22"/>
        </w:rPr>
        <w:t>have direct obligations under the GDPR, primarily to only process data on instructions from the controller (us) and to implement appropriate technical and organisational measures to ensure a level of security appropriate to the risk involved.</w:t>
      </w:r>
    </w:p>
    <w:p w14:paraId="304E7C05" w14:textId="22050A98" w:rsidR="00B30F6E" w:rsidRPr="00AE09E1" w:rsidRDefault="003B3828" w:rsidP="00794AA8">
      <w:pPr>
        <w:pStyle w:val="Heading2"/>
        <w:numPr>
          <w:ilvl w:val="1"/>
          <w:numId w:val="29"/>
        </w:numPr>
        <w:rPr>
          <w:color w:val="auto"/>
        </w:rPr>
      </w:pPr>
      <w:r w:rsidRPr="00EC793F">
        <w:rPr>
          <w:b/>
        </w:rPr>
        <w:t xml:space="preserve">Our Data Protection </w:t>
      </w:r>
      <w:r w:rsidR="00D47842">
        <w:rPr>
          <w:b/>
        </w:rPr>
        <w:t>Contact</w:t>
      </w:r>
      <w:r w:rsidRPr="00C8624E">
        <w:t xml:space="preserve"> is responsible for </w:t>
      </w:r>
      <w:r w:rsidR="008E6128">
        <w:t xml:space="preserve">advising </w:t>
      </w:r>
      <w:proofErr w:type="spellStart"/>
      <w:r w:rsidR="00AF5A70">
        <w:rPr>
          <w:rFonts w:cs="Arial"/>
          <w:szCs w:val="22"/>
        </w:rPr>
        <w:t>SeeKenya</w:t>
      </w:r>
      <w:proofErr w:type="spellEnd"/>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sidRPr="00AE09E1">
        <w:rPr>
          <w:rFonts w:cs="Arial"/>
          <w:color w:val="auto"/>
        </w:rPr>
        <w:t>them</w:t>
      </w:r>
      <w:r w:rsidR="00471BEE" w:rsidRPr="00AE09E1">
        <w:rPr>
          <w:rFonts w:ascii="Times New Roman" w:hAnsi="Times New Roman"/>
          <w:color w:val="auto"/>
        </w:rPr>
        <w:t xml:space="preserve"> </w:t>
      </w:r>
      <w:r w:rsidRPr="00AE09E1">
        <w:rPr>
          <w:color w:val="auto"/>
        </w:rPr>
        <w:t xml:space="preserve">at </w:t>
      </w:r>
      <w:r w:rsidR="00AE09E1" w:rsidRPr="00AE09E1">
        <w:rPr>
          <w:color w:val="auto"/>
        </w:rPr>
        <w:t>charlie.olive</w:t>
      </w:r>
      <w:r w:rsidR="00D47842" w:rsidRPr="00AE09E1">
        <w:rPr>
          <w:color w:val="auto"/>
        </w:rPr>
        <w:t>@tkc.org.uk</w:t>
      </w:r>
      <w:r w:rsidR="00FC374F" w:rsidRPr="00AE09E1">
        <w:rPr>
          <w:color w:val="auto"/>
        </w:rPr>
        <w:t>.</w:t>
      </w:r>
      <w:r w:rsidR="00D060EA" w:rsidRPr="00AE09E1">
        <w:rPr>
          <w:color w:val="auto"/>
        </w:rPr>
        <w:t xml:space="preserve"> </w:t>
      </w:r>
    </w:p>
    <w:p w14:paraId="70FA4311" w14:textId="16E502F9" w:rsidR="009012C5" w:rsidRPr="001564D3" w:rsidRDefault="003945C3" w:rsidP="00794AA8">
      <w:pPr>
        <w:pStyle w:val="Heading2"/>
        <w:numPr>
          <w:ilvl w:val="1"/>
          <w:numId w:val="29"/>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proofErr w:type="spellStart"/>
      <w:r w:rsidR="00AF5A70">
        <w:rPr>
          <w:rFonts w:cs="Arial"/>
          <w:szCs w:val="22"/>
        </w:rPr>
        <w:t>SeeKenya</w:t>
      </w:r>
      <w:proofErr w:type="spellEnd"/>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3DB296FD" w:rsidR="009012C5" w:rsidRPr="00C8624E" w:rsidRDefault="003945C3" w:rsidP="00794AA8">
      <w:pPr>
        <w:pStyle w:val="Heading2"/>
        <w:numPr>
          <w:ilvl w:val="1"/>
          <w:numId w:val="29"/>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471BEE">
        <w:t>D</w:t>
      </w:r>
      <w:r w:rsidR="00D47842">
        <w:t>ata Protection Contact.</w:t>
      </w:r>
    </w:p>
    <w:p w14:paraId="14FD521F" w14:textId="77777777" w:rsidR="003B3828" w:rsidRPr="00C8624E" w:rsidRDefault="003B3828" w:rsidP="00794AA8">
      <w:pPr>
        <w:pStyle w:val="Heading1"/>
        <w:numPr>
          <w:ilvl w:val="0"/>
          <w:numId w:val="29"/>
        </w:numPr>
      </w:pPr>
      <w:bookmarkStart w:id="66" w:name="_Toc421277302"/>
      <w:r>
        <w:lastRenderedPageBreak/>
        <w:t>Training and guidance</w:t>
      </w:r>
      <w:bookmarkEnd w:id="66"/>
    </w:p>
    <w:p w14:paraId="3916BD1C" w14:textId="1565CDD3" w:rsidR="00181C03" w:rsidRDefault="003B3828" w:rsidP="00794AA8">
      <w:pPr>
        <w:pStyle w:val="Heading2"/>
        <w:numPr>
          <w:ilvl w:val="1"/>
          <w:numId w:val="29"/>
        </w:numPr>
        <w:rPr>
          <w:lang w:eastAsia="en-GB"/>
        </w:rPr>
      </w:pPr>
      <w:r w:rsidRPr="00C8624E">
        <w:rPr>
          <w:lang w:eastAsia="en-GB"/>
        </w:rPr>
        <w:t xml:space="preserve">We will provide general training </w:t>
      </w:r>
      <w:r w:rsidR="00BC00D1">
        <w:rPr>
          <w:lang w:eastAsia="en-GB"/>
        </w:rPr>
        <w:t>as required</w:t>
      </w:r>
      <w:r w:rsidRPr="00C8624E">
        <w:rPr>
          <w:lang w:eastAsia="en-GB"/>
        </w:rPr>
        <w:t xml:space="preserve"> to raise awareness </w:t>
      </w:r>
      <w:r w:rsidR="008E6128">
        <w:rPr>
          <w:lang w:eastAsia="en-GB"/>
        </w:rPr>
        <w:t>of</w:t>
      </w:r>
      <w:r>
        <w:rPr>
          <w:lang w:eastAsia="en-GB"/>
        </w:rPr>
        <w:t xml:space="preserve"> obligations </w:t>
      </w:r>
      <w:r w:rsidRPr="00C8624E">
        <w:rPr>
          <w:lang w:eastAsia="en-GB"/>
        </w:rPr>
        <w:t>and</w:t>
      </w:r>
      <w:r>
        <w:rPr>
          <w:lang w:eastAsia="en-GB"/>
        </w:rPr>
        <w:t xml:space="preserve"> our responsibilities, as well as to</w:t>
      </w:r>
      <w:r w:rsidRPr="00C8624E">
        <w:rPr>
          <w:lang w:eastAsia="en-GB"/>
        </w:rPr>
        <w:t xml:space="preserve"> outline the law.  </w:t>
      </w:r>
      <w:r w:rsidR="00BC00D1">
        <w:rPr>
          <w:lang w:eastAsia="en-GB"/>
        </w:rPr>
        <w:t>An annual review of our Data Protection Policy will be completed.</w:t>
      </w:r>
    </w:p>
    <w:p w14:paraId="554439BD" w14:textId="348EE8BD" w:rsidR="003B3828" w:rsidRPr="003B3828" w:rsidRDefault="003B3828" w:rsidP="00794AA8">
      <w:pPr>
        <w:pStyle w:val="Heading2"/>
        <w:numPr>
          <w:ilvl w:val="1"/>
          <w:numId w:val="29"/>
        </w:numPr>
        <w:rPr>
          <w:lang w:eastAsia="en-GB"/>
        </w:rPr>
      </w:pPr>
      <w:r w:rsidRPr="00C8624E">
        <w:rPr>
          <w:lang w:eastAsia="en-GB"/>
        </w:rPr>
        <w:t xml:space="preserve">We may also issue </w:t>
      </w:r>
      <w:r w:rsidR="00181C03">
        <w:rPr>
          <w:lang w:eastAsia="en-GB"/>
        </w:rPr>
        <w:t xml:space="preserve">procedures, </w:t>
      </w:r>
      <w:r w:rsidRPr="00C8624E">
        <w:rPr>
          <w:lang w:eastAsia="en-GB"/>
        </w:rPr>
        <w:t>guidance or instructions fro</w:t>
      </w:r>
      <w:r w:rsidR="00573714">
        <w:rPr>
          <w:lang w:eastAsia="en-GB"/>
        </w:rPr>
        <w:t>m time to time. L</w:t>
      </w:r>
      <w:r w:rsidR="008711A8">
        <w:rPr>
          <w:lang w:eastAsia="en-GB"/>
        </w:rPr>
        <w:t>eaders</w:t>
      </w:r>
      <w:r w:rsidRPr="00C8624E">
        <w:rPr>
          <w:lang w:eastAsia="en-GB"/>
        </w:rPr>
        <w:t xml:space="preserve"> must set aside time for their team to look together at the implications for their work.</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7" w:name="_Toc421277303"/>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7"/>
    </w:p>
    <w:p w14:paraId="430E0620" w14:textId="4F1DAD72" w:rsidR="00D87C45" w:rsidRPr="008F7C5E" w:rsidRDefault="00D87C45" w:rsidP="00794AA8">
      <w:pPr>
        <w:pStyle w:val="Heading1"/>
        <w:numPr>
          <w:ilvl w:val="0"/>
          <w:numId w:val="29"/>
        </w:numPr>
      </w:pPr>
      <w:bookmarkStart w:id="68" w:name="_Toc421277304"/>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8"/>
    </w:p>
    <w:p w14:paraId="09D80982" w14:textId="2F8B83C3" w:rsidR="002F1BBC" w:rsidRPr="008711A8" w:rsidRDefault="002F1BBC" w:rsidP="00794AA8">
      <w:pPr>
        <w:pStyle w:val="Heading2"/>
        <w:numPr>
          <w:ilvl w:val="1"/>
          <w:numId w:val="29"/>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5E1DC0CF" w:rsidR="009D35A5" w:rsidRDefault="00F71198" w:rsidP="00794AA8">
      <w:pPr>
        <w:pStyle w:val="Heading2"/>
        <w:numPr>
          <w:ilvl w:val="1"/>
          <w:numId w:val="29"/>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573714">
        <w:t xml:space="preserve"> employment details</w:t>
      </w:r>
      <w:r w:rsidR="002B4F5E">
        <w:t xml:space="preserve"> </w:t>
      </w:r>
      <w:r w:rsidR="00636E5C" w:rsidRPr="003C1C0A">
        <w:t xml:space="preserve">and visual images of </w:t>
      </w:r>
      <w:r w:rsidR="009D35A5">
        <w:t>people.</w:t>
      </w:r>
    </w:p>
    <w:p w14:paraId="3C7FDE3B" w14:textId="0636A5DA" w:rsidR="00AD7128" w:rsidRPr="009D35A5" w:rsidRDefault="00F71198" w:rsidP="00794AA8">
      <w:pPr>
        <w:pStyle w:val="Heading2"/>
        <w:numPr>
          <w:ilvl w:val="1"/>
          <w:numId w:val="29"/>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GDPR. This </w:t>
      </w:r>
      <w:r w:rsidR="00636E5C" w:rsidRPr="009D35A5">
        <w:rPr>
          <w:rFonts w:cs="Arial"/>
          <w:szCs w:val="22"/>
        </w:rPr>
        <w:t xml:space="preserve">personal data </w:t>
      </w:r>
      <w:r w:rsidR="00636E5C" w:rsidRPr="00970A3B">
        <w:rPr>
          <w:rFonts w:cs="Arial"/>
          <w:color w:val="auto"/>
          <w:szCs w:val="22"/>
        </w:rPr>
        <w:t xml:space="preserve">can </w:t>
      </w:r>
      <w:r w:rsidR="00636E5C" w:rsidRPr="00970A3B">
        <w:rPr>
          <w:rFonts w:cs="Arial"/>
          <w:color w:val="auto"/>
          <w:szCs w:val="22"/>
          <w:u w:val="single"/>
        </w:rPr>
        <w:t>only</w:t>
      </w:r>
      <w:r w:rsidR="00636E5C" w:rsidRPr="00970A3B">
        <w:rPr>
          <w:rFonts w:cs="Arial"/>
          <w:color w:val="auto"/>
          <w:szCs w:val="22"/>
        </w:rPr>
        <w:t xml:space="preserve"> be processed under strict conditions</w:t>
      </w:r>
      <w:r w:rsidR="004721BA" w:rsidRPr="00970A3B">
        <w:rPr>
          <w:rFonts w:cs="Arial"/>
          <w:color w:val="auto"/>
          <w:szCs w:val="22"/>
        </w:rPr>
        <w:t>.</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0EF225E4"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referred to in the GDPR)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55BCFA01" w14:textId="3A752E9E" w:rsidR="00AF6210" w:rsidRPr="0034247D" w:rsidRDefault="00AF6210" w:rsidP="00AF6210">
      <w:pPr>
        <w:pStyle w:val="Heading2"/>
        <w:numPr>
          <w:ilvl w:val="1"/>
          <w:numId w:val="29"/>
        </w:numPr>
        <w:rPr>
          <w:rFonts w:cs="Arial"/>
          <w:szCs w:val="22"/>
        </w:rPr>
      </w:pPr>
      <w:r w:rsidRPr="0034247D">
        <w:rPr>
          <w:rFonts w:cs="Arial"/>
          <w:szCs w:val="22"/>
        </w:rPr>
        <w:t>We will not hold 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 </w:t>
      </w:r>
      <w:r w:rsidR="00F45EE9" w:rsidRPr="0034247D">
        <w:rPr>
          <w:rFonts w:cs="Arial"/>
          <w:szCs w:val="22"/>
        </w:rPr>
        <w:t xml:space="preserve">such as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F45EE9" w:rsidRPr="0034247D">
        <w:t xml:space="preserve">in relation to the safeguarding of children and of individuals at risk or one of </w:t>
      </w:r>
      <w:r w:rsidR="0038723A" w:rsidRPr="0034247D">
        <w:t xml:space="preserve">the </w:t>
      </w:r>
      <w:r w:rsidR="001C49F9" w:rsidRPr="0034247D">
        <w:t>additional condition</w:t>
      </w:r>
      <w:r w:rsidR="00F45EE9" w:rsidRPr="0034247D">
        <w:t>s</w:t>
      </w:r>
      <w:r w:rsidR="001C49F9" w:rsidRPr="0034247D">
        <w:t xml:space="preserve"> relating to criminal convictions </w:t>
      </w:r>
      <w:r w:rsidR="001C49F9" w:rsidRPr="0034247D">
        <w:rPr>
          <w:rFonts w:cs="Arial"/>
          <w:szCs w:val="22"/>
        </w:rPr>
        <w:t xml:space="preserve">set out in </w:t>
      </w:r>
      <w:r w:rsidR="00440166" w:rsidRPr="0034247D">
        <w:rPr>
          <w:rFonts w:cs="Arial"/>
          <w:szCs w:val="22"/>
        </w:rPr>
        <w:t>either Part 2 or Part</w:t>
      </w:r>
      <w:r w:rsidR="00C61DBC" w:rsidRPr="0034247D">
        <w:rPr>
          <w:rFonts w:cs="Arial"/>
          <w:szCs w:val="22"/>
        </w:rPr>
        <w:t xml:space="preserve"> 3 of </w:t>
      </w:r>
      <w:r w:rsidR="00FB56F1" w:rsidRPr="0034247D">
        <w:rPr>
          <w:rFonts w:cs="Arial"/>
          <w:szCs w:val="22"/>
        </w:rPr>
        <w:t xml:space="preserve">Schedule 1 of </w:t>
      </w:r>
      <w:r w:rsidR="001C49F9" w:rsidRPr="0034247D">
        <w:rPr>
          <w:rFonts w:cs="Arial"/>
          <w:szCs w:val="22"/>
        </w:rPr>
        <w:t xml:space="preserve">the Data Protection Act 2018.  </w:t>
      </w:r>
      <w:r w:rsidRPr="0034247D">
        <w:rPr>
          <w:rFonts w:cs="Arial"/>
          <w:szCs w:val="22"/>
        </w:rPr>
        <w:t>This processing will only ever be carried</w:t>
      </w:r>
      <w:r w:rsidR="007618AC" w:rsidRPr="0034247D">
        <w:rPr>
          <w:rFonts w:cs="Arial"/>
          <w:szCs w:val="22"/>
        </w:rPr>
        <w:t xml:space="preserve"> out </w:t>
      </w:r>
      <w:r w:rsidR="00ED611C">
        <w:rPr>
          <w:rFonts w:cs="Arial"/>
          <w:szCs w:val="22"/>
        </w:rPr>
        <w:t>following contact with our advisory service</w:t>
      </w:r>
      <w:r w:rsidR="00573714">
        <w:rPr>
          <w:rFonts w:cs="Arial"/>
          <w:szCs w:val="22"/>
        </w:rPr>
        <w:t xml:space="preserve"> </w:t>
      </w:r>
      <w:r w:rsidR="00ED611C">
        <w:rPr>
          <w:rFonts w:cs="Arial"/>
          <w:szCs w:val="22"/>
        </w:rPr>
        <w:t>‘</w:t>
      </w:r>
      <w:proofErr w:type="spellStart"/>
      <w:r w:rsidR="00ED611C">
        <w:rPr>
          <w:rFonts w:cs="Arial"/>
          <w:szCs w:val="22"/>
        </w:rPr>
        <w:t>Thirtyone:eight</w:t>
      </w:r>
      <w:proofErr w:type="spellEnd"/>
      <w:r w:rsidR="00ED611C">
        <w:rPr>
          <w:rFonts w:cs="Arial"/>
          <w:szCs w:val="22"/>
        </w:rPr>
        <w:t>’</w:t>
      </w:r>
      <w:r w:rsidR="007618AC" w:rsidRPr="0034247D">
        <w:rPr>
          <w:rFonts w:cs="Arial"/>
          <w:szCs w:val="22"/>
        </w:rPr>
        <w:t>.</w:t>
      </w:r>
    </w:p>
    <w:p w14:paraId="0EDE5633" w14:textId="44CF09EF" w:rsidR="00452D93" w:rsidRPr="00452D93" w:rsidRDefault="00452D93" w:rsidP="00794AA8">
      <w:pPr>
        <w:pStyle w:val="Heading2"/>
        <w:numPr>
          <w:ilvl w:val="1"/>
          <w:numId w:val="29"/>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794AA8">
      <w:pPr>
        <w:pStyle w:val="Heading1"/>
        <w:numPr>
          <w:ilvl w:val="0"/>
          <w:numId w:val="29"/>
        </w:numPr>
      </w:pPr>
      <w:bookmarkStart w:id="69" w:name="_Ref501708666"/>
      <w:bookmarkStart w:id="70" w:name="_Ref501710697"/>
      <w:bookmarkStart w:id="71" w:name="_Toc421277305"/>
      <w:r>
        <w:lastRenderedPageBreak/>
        <w:t>Making</w:t>
      </w:r>
      <w:r w:rsidR="005E570F">
        <w:t xml:space="preserve"> </w:t>
      </w:r>
      <w:r>
        <w:t xml:space="preserve">sure </w:t>
      </w:r>
      <w:r w:rsidR="00403F3F">
        <w:t>processing</w:t>
      </w:r>
      <w:bookmarkEnd w:id="69"/>
      <w:bookmarkEnd w:id="70"/>
      <w:r w:rsidR="005E570F">
        <w:t xml:space="preserve"> </w:t>
      </w:r>
      <w:r>
        <w:t>is f</w:t>
      </w:r>
      <w:r w:rsidR="005E570F">
        <w:t>air and lawful</w:t>
      </w:r>
      <w:bookmarkEnd w:id="71"/>
    </w:p>
    <w:p w14:paraId="15731069" w14:textId="09D79786" w:rsidR="00AC6FEF" w:rsidRDefault="004E7F44" w:rsidP="00794AA8">
      <w:pPr>
        <w:pStyle w:val="Heading2"/>
        <w:numPr>
          <w:ilvl w:val="1"/>
          <w:numId w:val="29"/>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35CAEFFC" w:rsidR="00037899" w:rsidRDefault="00037899" w:rsidP="00794AA8">
      <w:pPr>
        <w:pStyle w:val="Heading2"/>
        <w:numPr>
          <w:ilvl w:val="1"/>
          <w:numId w:val="29"/>
        </w:numPr>
        <w:rPr>
          <w:rFonts w:cs="Arial"/>
          <w:szCs w:val="22"/>
        </w:rPr>
      </w:pPr>
      <w:bookmarkStart w:id="72"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rticle 6 of the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2"/>
      <w:r w:rsidR="00C13D0A">
        <w:rPr>
          <w:rFonts w:cs="Arial"/>
          <w:szCs w:val="22"/>
        </w:rPr>
        <w:t>met</w:t>
      </w:r>
      <w:r w:rsidR="00B52B34">
        <w:rPr>
          <w:rFonts w:cs="Arial"/>
          <w:szCs w:val="22"/>
        </w:rPr>
        <w:t>:</w:t>
      </w:r>
    </w:p>
    <w:p w14:paraId="30C88EC0" w14:textId="77777777" w:rsidR="00CC6564" w:rsidRDefault="00D428AF" w:rsidP="006769F8">
      <w:pPr>
        <w:pStyle w:val="Heading3"/>
        <w:numPr>
          <w:ilvl w:val="2"/>
          <w:numId w:val="38"/>
        </w:numPr>
      </w:pPr>
      <w:proofErr w:type="gramStart"/>
      <w:r>
        <w:t>t</w:t>
      </w:r>
      <w:r w:rsidR="00CC6564">
        <w:t>he</w:t>
      </w:r>
      <w:proofErr w:type="gramEnd"/>
      <w:r w:rsidR="00CC6564">
        <w:t xml:space="preserve"> processing is </w:t>
      </w:r>
      <w:r w:rsidR="00CC6564" w:rsidRPr="001C5ECC">
        <w:rPr>
          <w:b/>
        </w:rPr>
        <w:t>necessary for a contract</w:t>
      </w:r>
      <w:r w:rsidR="00CC6564">
        <w:t xml:space="preserve"> with the data subject;</w:t>
      </w:r>
    </w:p>
    <w:p w14:paraId="19193178" w14:textId="77777777" w:rsidR="00CC6564" w:rsidRDefault="00D428AF" w:rsidP="006769F8">
      <w:pPr>
        <w:pStyle w:val="Heading3"/>
        <w:numPr>
          <w:ilvl w:val="2"/>
          <w:numId w:val="38"/>
        </w:numPr>
      </w:pPr>
      <w:proofErr w:type="gramStart"/>
      <w:r>
        <w:t>t</w:t>
      </w:r>
      <w:r w:rsidR="00CC6564">
        <w:t>he</w:t>
      </w:r>
      <w:proofErr w:type="gramEnd"/>
      <w:r w:rsidR="00CC6564">
        <w:t xml:space="preserve"> processing is </w:t>
      </w:r>
      <w:r w:rsidR="00CC6564" w:rsidRPr="001C5ECC">
        <w:rPr>
          <w:b/>
        </w:rPr>
        <w:t>necessary for us to comply with a legal obligation</w:t>
      </w:r>
      <w:r w:rsidR="00CC6564">
        <w:t>;</w:t>
      </w:r>
    </w:p>
    <w:p w14:paraId="1159634D" w14:textId="7AEB39DF" w:rsidR="00B52B34" w:rsidRDefault="00B52B34" w:rsidP="006769F8">
      <w:pPr>
        <w:pStyle w:val="Heading3"/>
        <w:numPr>
          <w:ilvl w:val="2"/>
          <w:numId w:val="38"/>
        </w:numPr>
      </w:pPr>
      <w:proofErr w:type="gramStart"/>
      <w:r>
        <w:t>the</w:t>
      </w:r>
      <w:proofErr w:type="gramEnd"/>
      <w:r>
        <w:t xml:space="preserve"> processing is necessary to protect someone’s life (</w:t>
      </w:r>
      <w:r w:rsidR="004133EB">
        <w:t>this is called “</w:t>
      </w:r>
      <w:r w:rsidRPr="004133EB">
        <w:rPr>
          <w:b/>
        </w:rPr>
        <w:t>vital interests</w:t>
      </w:r>
      <w:r w:rsidR="004133EB">
        <w:t>”</w:t>
      </w:r>
      <w:r>
        <w:t>);</w:t>
      </w:r>
    </w:p>
    <w:p w14:paraId="0C95E091" w14:textId="0FEF0D45" w:rsidR="00B52B34" w:rsidRPr="00B52B34" w:rsidRDefault="00B52B34" w:rsidP="006769F8">
      <w:pPr>
        <w:pStyle w:val="Heading3"/>
        <w:numPr>
          <w:ilvl w:val="2"/>
          <w:numId w:val="38"/>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755AF15F" w:rsidR="000766AF" w:rsidRDefault="00D428AF" w:rsidP="006769F8">
      <w:pPr>
        <w:pStyle w:val="Heading3"/>
        <w:numPr>
          <w:ilvl w:val="2"/>
          <w:numId w:val="38"/>
        </w:numPr>
      </w:pPr>
      <w:proofErr w:type="gramStart"/>
      <w:r>
        <w:t>t</w:t>
      </w:r>
      <w:r w:rsidR="00CC6564">
        <w:t>he</w:t>
      </w:r>
      <w:proofErr w:type="gramEnd"/>
      <w:r w:rsidR="00CC6564">
        <w:t xml:space="preserve"> processing is </w:t>
      </w:r>
      <w:r w:rsidR="00CC6564" w:rsidRPr="001C5ECC">
        <w:rPr>
          <w:b/>
        </w:rPr>
        <w:t>necessary for legitimate interests</w:t>
      </w:r>
      <w:r w:rsidR="00CC6564">
        <w:t xml:space="preserve"> pursued </w:t>
      </w:r>
      <w:r w:rsidR="00B52B34">
        <w:t xml:space="preserve">by </w:t>
      </w:r>
      <w:proofErr w:type="spellStart"/>
      <w:r w:rsidR="00AF5A70">
        <w:rPr>
          <w:rFonts w:cs="Arial"/>
          <w:szCs w:val="22"/>
        </w:rPr>
        <w:t>SeeKenya</w:t>
      </w:r>
      <w:proofErr w:type="spellEnd"/>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6769F8">
      <w:pPr>
        <w:pStyle w:val="Heading3"/>
        <w:numPr>
          <w:ilvl w:val="2"/>
          <w:numId w:val="38"/>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2AD185F0" w:rsidR="00017D43" w:rsidRPr="003945C3" w:rsidRDefault="00A61363" w:rsidP="00794AA8">
      <w:pPr>
        <w:pStyle w:val="Heading2"/>
        <w:numPr>
          <w:ilvl w:val="1"/>
          <w:numId w:val="29"/>
        </w:numPr>
      </w:pPr>
      <w:bookmarkStart w:id="73"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3"/>
    </w:p>
    <w:p w14:paraId="29B97137" w14:textId="77777777" w:rsidR="00017D43"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794AA8">
      <w:pPr>
        <w:pStyle w:val="Heading3"/>
        <w:numPr>
          <w:ilvl w:val="2"/>
          <w:numId w:val="29"/>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68F9903A" w:rsidR="00C13D0A" w:rsidRPr="003945C3" w:rsidRDefault="00C13D0A" w:rsidP="00794AA8">
      <w:pPr>
        <w:pStyle w:val="Heading2"/>
        <w:numPr>
          <w:ilvl w:val="1"/>
          <w:numId w:val="29"/>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GDPR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4" w:name="_Ref497149182"/>
      <w:r>
        <w:rPr>
          <w:rFonts w:cs="Arial"/>
          <w:b/>
        </w:rPr>
        <w:lastRenderedPageBreak/>
        <w:t>What must we tell individuals before we use their data?</w:t>
      </w:r>
    </w:p>
    <w:p w14:paraId="4B1E3FD2" w14:textId="0B2F3621" w:rsidR="00265E82" w:rsidRPr="00970A3B" w:rsidRDefault="00265E82" w:rsidP="00794AA8">
      <w:pPr>
        <w:pStyle w:val="Heading2"/>
        <w:numPr>
          <w:ilvl w:val="1"/>
          <w:numId w:val="29"/>
        </w:numPr>
        <w:rPr>
          <w:rFonts w:cs="Arial"/>
          <w:color w:val="auto"/>
        </w:rPr>
      </w:pPr>
      <w:bookmarkStart w:id="75" w:name="_Ref501701637"/>
      <w:r w:rsidRPr="00970A3B">
        <w:rPr>
          <w:rFonts w:cs="Arial"/>
          <w:color w:val="auto"/>
        </w:rPr>
        <w:t>If personal data is collected directly from the individual, we will inform them about</w:t>
      </w:r>
      <w:bookmarkEnd w:id="74"/>
      <w:bookmarkEnd w:id="75"/>
      <w:r w:rsidR="00A33E0D" w:rsidRPr="00970A3B">
        <w:rPr>
          <w:rFonts w:cs="Arial"/>
          <w:color w:val="auto"/>
        </w:rPr>
        <w:t>;</w:t>
      </w:r>
      <w:r w:rsidR="00573714" w:rsidRPr="00970A3B">
        <w:rPr>
          <w:rFonts w:cs="Arial"/>
          <w:color w:val="auto"/>
        </w:rPr>
        <w:t xml:space="preserve"> our identity/contact details</w:t>
      </w:r>
      <w:r w:rsidR="00A33E0D" w:rsidRPr="00970A3B">
        <w:rPr>
          <w:rFonts w:cs="Arial"/>
          <w:color w:val="auto"/>
        </w:rPr>
        <w:t>, the reasons for proce</w:t>
      </w:r>
      <w:r w:rsidR="00573714" w:rsidRPr="00970A3B">
        <w:rPr>
          <w:rFonts w:cs="Arial"/>
          <w:color w:val="auto"/>
        </w:rPr>
        <w:t>ssing, and the legal bases</w:t>
      </w:r>
      <w:r w:rsidR="00D208EF" w:rsidRPr="00970A3B">
        <w:rPr>
          <w:rFonts w:cs="Arial"/>
          <w:color w:val="auto"/>
        </w:rPr>
        <w:t>, explaining our legit</w:t>
      </w:r>
      <w:r w:rsidR="00CB686F" w:rsidRPr="00970A3B">
        <w:rPr>
          <w:rFonts w:cs="Arial"/>
          <w:color w:val="auto"/>
        </w:rPr>
        <w:t xml:space="preserve">imate interests, and explaining, where relevant, </w:t>
      </w:r>
      <w:r w:rsidR="00D208EF" w:rsidRPr="00970A3B">
        <w:rPr>
          <w:rFonts w:cs="Arial"/>
          <w:color w:val="auto"/>
        </w:rPr>
        <w:t>the consequences of not providing data needed for a contract or statutory requirement; who we will share the data with; if we plan to send the data outside of the European Union; h</w:t>
      </w:r>
      <w:r w:rsidR="00CB686F" w:rsidRPr="00970A3B">
        <w:rPr>
          <w:rFonts w:cs="Arial"/>
          <w:color w:val="auto"/>
        </w:rPr>
        <w:t>ow long the data will be stored and</w:t>
      </w:r>
      <w:r w:rsidR="00D208EF" w:rsidRPr="00970A3B">
        <w:rPr>
          <w:rFonts w:cs="Arial"/>
          <w:color w:val="auto"/>
        </w:rPr>
        <w:t xml:space="preserve"> the data subjects’ rights.</w:t>
      </w:r>
    </w:p>
    <w:p w14:paraId="585FDB18" w14:textId="77777777" w:rsidR="00B63453" w:rsidRPr="00970A3B" w:rsidRDefault="00265E82" w:rsidP="00D208EF">
      <w:pPr>
        <w:pStyle w:val="Heading3"/>
        <w:numPr>
          <w:ilvl w:val="0"/>
          <w:numId w:val="0"/>
        </w:numPr>
        <w:ind w:left="709"/>
      </w:pPr>
      <w:r w:rsidRPr="00970A3B">
        <w:t xml:space="preserve">This </w:t>
      </w:r>
      <w:r w:rsidR="000F1CBA" w:rsidRPr="00970A3B">
        <w:t xml:space="preserve">information </w:t>
      </w:r>
      <w:r w:rsidRPr="00970A3B">
        <w:t>is commonly referred to as a ‘Privacy Notice’.</w:t>
      </w:r>
      <w:r w:rsidR="00B63453" w:rsidRPr="00970A3B">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7B94144E" w:rsidR="00265E82" w:rsidRDefault="00265E82" w:rsidP="00794AA8">
      <w:pPr>
        <w:pStyle w:val="Heading2"/>
        <w:numPr>
          <w:ilvl w:val="1"/>
          <w:numId w:val="29"/>
        </w:numPr>
      </w:pPr>
      <w:bookmarkStart w:id="76" w:name="_Ref497149188"/>
      <w:r w:rsidRPr="00970A3B">
        <w:rPr>
          <w:color w:val="auto"/>
        </w:rPr>
        <w:t xml:space="preserve">If data is collected from another source, rather than </w:t>
      </w:r>
      <w:r w:rsidR="000F1CBA" w:rsidRPr="00970A3B">
        <w:rPr>
          <w:color w:val="auto"/>
        </w:rPr>
        <w:t xml:space="preserve">directly </w:t>
      </w:r>
      <w:r w:rsidRPr="00970A3B">
        <w:rPr>
          <w:color w:val="auto"/>
        </w:rPr>
        <w:t>from the</w:t>
      </w:r>
      <w:bookmarkEnd w:id="76"/>
      <w:r w:rsidRPr="00970A3B">
        <w:rPr>
          <w:color w:val="auto"/>
        </w:rPr>
        <w:t xml:space="preserve"> </w:t>
      </w:r>
      <w:r w:rsidR="000F1CBA" w:rsidRPr="00970A3B">
        <w:rPr>
          <w:color w:val="auto"/>
        </w:rPr>
        <w:t>data subject</w:t>
      </w:r>
      <w:r w:rsidRPr="00970A3B">
        <w:rPr>
          <w:color w:val="auto"/>
        </w:rPr>
        <w:t>, we</w:t>
      </w:r>
      <w:r>
        <w:t xml:space="preserv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320E1A">
        <w:t>6.5</w:t>
      </w:r>
      <w:r>
        <w:fldChar w:fldCharType="end"/>
      </w:r>
      <w:r w:rsidR="00205CA0">
        <w:t>5</w:t>
      </w:r>
      <w:r>
        <w:t xml:space="preserve"> as well as: </w:t>
      </w:r>
      <w:r w:rsidR="00D208EF">
        <w:t>the categories of the data concerned; and the source of the data.</w:t>
      </w:r>
    </w:p>
    <w:p w14:paraId="07B2A093" w14:textId="69448C5C"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2E7349" w:rsidRPr="00C7307C">
        <w:rPr>
          <w:rFonts w:cs="Arial"/>
          <w:szCs w:val="22"/>
        </w:rPr>
        <w:t>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1232F24E" w:rsidR="00265E82" w:rsidRDefault="00C7307C" w:rsidP="00265E82">
      <w:pPr>
        <w:pStyle w:val="Heading2"/>
        <w:numPr>
          <w:ilvl w:val="0"/>
          <w:numId w:val="0"/>
        </w:numPr>
        <w:ind w:left="720"/>
      </w:pPr>
      <w:r>
        <w:rPr>
          <w:rFonts w:cs="Arial"/>
          <w:szCs w:val="22"/>
        </w:rPr>
        <w:t xml:space="preserve">If we plan to pass the data onto someone else outside of </w:t>
      </w:r>
      <w:proofErr w:type="spellStart"/>
      <w:r w:rsidR="00AF5A70">
        <w:rPr>
          <w:rFonts w:cs="Arial"/>
          <w:szCs w:val="22"/>
        </w:rPr>
        <w:t>SeeKenya</w:t>
      </w:r>
      <w:proofErr w:type="spellEnd"/>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794AA8">
      <w:pPr>
        <w:pStyle w:val="Heading1"/>
        <w:numPr>
          <w:ilvl w:val="0"/>
          <w:numId w:val="29"/>
        </w:numPr>
      </w:pPr>
      <w:bookmarkStart w:id="77" w:name="_Toc499629811"/>
      <w:bookmarkStart w:id="78" w:name="_Toc499629894"/>
      <w:bookmarkStart w:id="79" w:name="_Toc499631279"/>
      <w:bookmarkStart w:id="80" w:name="_Toc499647702"/>
      <w:bookmarkStart w:id="81" w:name="_Toc499629812"/>
      <w:bookmarkStart w:id="82" w:name="_Toc499629895"/>
      <w:bookmarkStart w:id="83" w:name="_Toc499631280"/>
      <w:bookmarkStart w:id="84" w:name="_Toc499647703"/>
      <w:bookmarkStart w:id="85" w:name="_Toc499629813"/>
      <w:bookmarkStart w:id="86" w:name="_Toc499629896"/>
      <w:bookmarkStart w:id="87" w:name="_Toc499631281"/>
      <w:bookmarkStart w:id="88" w:name="_Toc499647704"/>
      <w:bookmarkStart w:id="89" w:name="_Toc499629814"/>
      <w:bookmarkStart w:id="90" w:name="_Toc499629897"/>
      <w:bookmarkStart w:id="91" w:name="_Toc499631282"/>
      <w:bookmarkStart w:id="92" w:name="_Toc499647705"/>
      <w:bookmarkStart w:id="93" w:name="_Toc499629815"/>
      <w:bookmarkStart w:id="94" w:name="_Toc499629898"/>
      <w:bookmarkStart w:id="95" w:name="_Toc499631283"/>
      <w:bookmarkStart w:id="96" w:name="_Toc499647706"/>
      <w:bookmarkStart w:id="97" w:name="_Toc499629816"/>
      <w:bookmarkStart w:id="98" w:name="_Toc499629899"/>
      <w:bookmarkStart w:id="99" w:name="_Toc499631284"/>
      <w:bookmarkStart w:id="100" w:name="_Toc499647707"/>
      <w:bookmarkStart w:id="101" w:name="_Toc499629817"/>
      <w:bookmarkStart w:id="102" w:name="_Toc499629900"/>
      <w:bookmarkStart w:id="103" w:name="_Toc499631285"/>
      <w:bookmarkStart w:id="104" w:name="_Toc499647708"/>
      <w:bookmarkStart w:id="105" w:name="_Toc499629818"/>
      <w:bookmarkStart w:id="106" w:name="_Toc499629901"/>
      <w:bookmarkStart w:id="107" w:name="_Toc499631286"/>
      <w:bookmarkStart w:id="108" w:name="_Toc499647709"/>
      <w:bookmarkStart w:id="109" w:name="_Toc499629819"/>
      <w:bookmarkStart w:id="110" w:name="_Toc499629902"/>
      <w:bookmarkStart w:id="111" w:name="_Toc499631287"/>
      <w:bookmarkStart w:id="112" w:name="_Toc499647710"/>
      <w:bookmarkStart w:id="113" w:name="_Toc499629820"/>
      <w:bookmarkStart w:id="114" w:name="_Toc499629903"/>
      <w:bookmarkStart w:id="115" w:name="_Toc499631288"/>
      <w:bookmarkStart w:id="116" w:name="_Toc499647711"/>
      <w:bookmarkStart w:id="117" w:name="_Ref499632896"/>
      <w:bookmarkStart w:id="118" w:name="a888861"/>
      <w:bookmarkStart w:id="119" w:name="_Toc42127730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t>When we need c</w:t>
      </w:r>
      <w:r w:rsidR="00403F3F" w:rsidRPr="00A67467">
        <w:t>onsent</w:t>
      </w:r>
      <w:bookmarkEnd w:id="117"/>
      <w:r w:rsidR="000F1CBA" w:rsidRPr="00A67467">
        <w:t xml:space="preserve"> </w:t>
      </w:r>
      <w:r>
        <w:t>to process data</w:t>
      </w:r>
      <w:bookmarkEnd w:id="119"/>
      <w:r>
        <w:t xml:space="preserve"> </w:t>
      </w:r>
    </w:p>
    <w:p w14:paraId="422F08BC" w14:textId="69D1A18B" w:rsidR="00B33B2D" w:rsidRDefault="00D93679" w:rsidP="00794AA8">
      <w:pPr>
        <w:pStyle w:val="Heading2"/>
        <w:numPr>
          <w:ilvl w:val="1"/>
          <w:numId w:val="29"/>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794AA8">
      <w:pPr>
        <w:pStyle w:val="Heading2"/>
        <w:numPr>
          <w:ilvl w:val="1"/>
          <w:numId w:val="29"/>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w:t>
      </w:r>
      <w:proofErr w:type="gramStart"/>
      <w:r w:rsidR="00841222">
        <w:t>consent</w:t>
      </w:r>
      <w:proofErr w:type="gramEnd"/>
      <w:r w:rsidR="00841222">
        <w:t xml:space="preserve"> </w:t>
      </w:r>
      <w:r w:rsidR="00B33B2D">
        <w:t xml:space="preserve">as it is </w:t>
      </w:r>
      <w:r w:rsidR="00152D6C">
        <w:t>to give</w:t>
      </w:r>
      <w:r w:rsidR="00B33B2D">
        <w:t xml:space="preserve"> consent.</w:t>
      </w:r>
    </w:p>
    <w:p w14:paraId="556E548A" w14:textId="5306F34D" w:rsidR="00E80A8B" w:rsidRPr="00C8624E" w:rsidRDefault="00403F3F" w:rsidP="00794AA8">
      <w:pPr>
        <w:pStyle w:val="Heading1"/>
        <w:numPr>
          <w:ilvl w:val="0"/>
          <w:numId w:val="29"/>
        </w:numPr>
      </w:pPr>
      <w:bookmarkStart w:id="120" w:name="_Ref501708556"/>
      <w:bookmarkStart w:id="121" w:name="_Ref501708573"/>
      <w:bookmarkStart w:id="122" w:name="_Ref501708696"/>
      <w:bookmarkStart w:id="123" w:name="_Ref501710190"/>
      <w:bookmarkStart w:id="124" w:name="_Ref501710876"/>
      <w:bookmarkStart w:id="125" w:name="_Toc421277307"/>
      <w:bookmarkEnd w:id="118"/>
      <w:r>
        <w:t>Processing for specified purposes</w:t>
      </w:r>
      <w:bookmarkEnd w:id="120"/>
      <w:bookmarkEnd w:id="121"/>
      <w:bookmarkEnd w:id="122"/>
      <w:bookmarkEnd w:id="123"/>
      <w:bookmarkEnd w:id="124"/>
      <w:bookmarkEnd w:id="125"/>
    </w:p>
    <w:p w14:paraId="04AE0BE7" w14:textId="4073A4E3" w:rsidR="00E80A8B" w:rsidRDefault="0023367A" w:rsidP="00794AA8">
      <w:pPr>
        <w:pStyle w:val="Heading2"/>
        <w:numPr>
          <w:ilvl w:val="1"/>
          <w:numId w:val="29"/>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320E1A">
        <w:t>6.5</w:t>
      </w:r>
      <w:r w:rsidR="004D4B23">
        <w:fldChar w:fldCharType="end"/>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794AA8">
      <w:pPr>
        <w:pStyle w:val="Heading1"/>
        <w:numPr>
          <w:ilvl w:val="0"/>
          <w:numId w:val="29"/>
        </w:numPr>
      </w:pPr>
      <w:bookmarkStart w:id="126" w:name="_Toc461530155"/>
      <w:bookmarkStart w:id="127" w:name="_Ref501708710"/>
      <w:bookmarkStart w:id="128" w:name="_Toc421277308"/>
      <w:r>
        <w:t xml:space="preserve">Data will be adequate, relevant and not </w:t>
      </w:r>
      <w:r w:rsidR="00972108">
        <w:t>excessive</w:t>
      </w:r>
      <w:bookmarkEnd w:id="128"/>
      <w:r w:rsidR="00972108">
        <w:t xml:space="preserve"> </w:t>
      </w:r>
      <w:bookmarkEnd w:id="126"/>
      <w:bookmarkEnd w:id="127"/>
    </w:p>
    <w:p w14:paraId="59374833" w14:textId="6071D9A3" w:rsidR="0079497F" w:rsidRPr="00970A3B" w:rsidRDefault="00195C62" w:rsidP="00794AA8">
      <w:pPr>
        <w:pStyle w:val="Heading2"/>
        <w:numPr>
          <w:ilvl w:val="1"/>
          <w:numId w:val="29"/>
        </w:numPr>
        <w:rPr>
          <w:rFonts w:cs="Arial"/>
          <w:color w:val="auto"/>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 xml:space="preserve">s in privacy </w:t>
      </w:r>
      <w:r>
        <w:rPr>
          <w:rFonts w:cs="Arial"/>
        </w:rPr>
        <w:lastRenderedPageBreak/>
        <w:t>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 xml:space="preserve">more than is needed to </w:t>
      </w:r>
      <w:r w:rsidRPr="00970A3B">
        <w:rPr>
          <w:rFonts w:cs="Arial"/>
          <w:color w:val="auto"/>
        </w:rPr>
        <w:t>achieve those</w:t>
      </w:r>
      <w:r w:rsidR="0079497F" w:rsidRPr="00970A3B">
        <w:rPr>
          <w:rFonts w:cs="Arial"/>
          <w:color w:val="auto"/>
        </w:rPr>
        <w:t xml:space="preserve"> purpose</w:t>
      </w:r>
      <w:r w:rsidRPr="00970A3B">
        <w:rPr>
          <w:rFonts w:cs="Arial"/>
          <w:color w:val="auto"/>
        </w:rPr>
        <w:t xml:space="preserve">s. We will not collect any personal data “just in case” we want to process it later. </w:t>
      </w:r>
    </w:p>
    <w:p w14:paraId="3CCE7E9E" w14:textId="77777777" w:rsidR="00061E3B" w:rsidRPr="00970A3B" w:rsidRDefault="00972108" w:rsidP="00794AA8">
      <w:pPr>
        <w:pStyle w:val="Heading1"/>
        <w:numPr>
          <w:ilvl w:val="0"/>
          <w:numId w:val="29"/>
        </w:numPr>
      </w:pPr>
      <w:bookmarkStart w:id="129" w:name="_Toc461530156"/>
      <w:bookmarkStart w:id="130" w:name="_Ref501708723"/>
      <w:bookmarkStart w:id="131" w:name="_Toc421277309"/>
      <w:r w:rsidRPr="00970A3B">
        <w:t>Accurate data</w:t>
      </w:r>
      <w:bookmarkEnd w:id="129"/>
      <w:bookmarkEnd w:id="130"/>
      <w:bookmarkEnd w:id="131"/>
    </w:p>
    <w:p w14:paraId="13E725A6" w14:textId="77777777" w:rsidR="00537A9F" w:rsidRPr="00970A3B" w:rsidRDefault="00061E3B" w:rsidP="00794AA8">
      <w:pPr>
        <w:pStyle w:val="Heading2"/>
        <w:numPr>
          <w:ilvl w:val="1"/>
          <w:numId w:val="29"/>
        </w:numPr>
        <w:rPr>
          <w:rFonts w:cs="Arial"/>
          <w:color w:val="auto"/>
        </w:rPr>
      </w:pPr>
      <w:r w:rsidRPr="00970A3B">
        <w:rPr>
          <w:rFonts w:cs="Arial"/>
          <w:color w:val="auto"/>
        </w:rPr>
        <w:t xml:space="preserve">We will </w:t>
      </w:r>
      <w:r w:rsidR="00BE2171" w:rsidRPr="00970A3B">
        <w:rPr>
          <w:rFonts w:cs="Arial"/>
          <w:color w:val="auto"/>
        </w:rPr>
        <w:t>make sure</w:t>
      </w:r>
      <w:r w:rsidRPr="00970A3B">
        <w:rPr>
          <w:rFonts w:cs="Arial"/>
          <w:color w:val="auto"/>
        </w:rPr>
        <w:t xml:space="preserve"> that personal data held is accurate and</w:t>
      </w:r>
      <w:r w:rsidR="000D1E49" w:rsidRPr="00970A3B">
        <w:rPr>
          <w:rFonts w:cs="Arial"/>
          <w:color w:val="auto"/>
        </w:rPr>
        <w:t>, where appropriate,</w:t>
      </w:r>
      <w:r w:rsidRPr="00970A3B">
        <w:rPr>
          <w:rFonts w:cs="Arial"/>
          <w:color w:val="auto"/>
        </w:rPr>
        <w:t xml:space="preserve"> kept up to date. The accuracy of personal data </w:t>
      </w:r>
      <w:r w:rsidR="00DF4008" w:rsidRPr="00970A3B">
        <w:rPr>
          <w:rFonts w:cs="Arial"/>
          <w:color w:val="auto"/>
        </w:rPr>
        <w:t>will</w:t>
      </w:r>
      <w:r w:rsidR="004F3410" w:rsidRPr="00970A3B">
        <w:rPr>
          <w:rFonts w:cs="Arial"/>
          <w:color w:val="auto"/>
        </w:rPr>
        <w:t xml:space="preserve"> </w:t>
      </w:r>
      <w:r w:rsidRPr="00970A3B">
        <w:rPr>
          <w:rFonts w:cs="Arial"/>
          <w:color w:val="auto"/>
        </w:rPr>
        <w:t xml:space="preserve">be checked at the point of collection and at </w:t>
      </w:r>
      <w:r w:rsidR="00537A9F" w:rsidRPr="00970A3B">
        <w:rPr>
          <w:rFonts w:cs="Arial"/>
          <w:color w:val="auto"/>
        </w:rPr>
        <w:t>appropriate points later on</w:t>
      </w:r>
      <w:r w:rsidRPr="00970A3B">
        <w:rPr>
          <w:rFonts w:cs="Arial"/>
          <w:color w:val="auto"/>
        </w:rPr>
        <w:t xml:space="preserve">. </w:t>
      </w:r>
    </w:p>
    <w:p w14:paraId="486149DE" w14:textId="19B23132" w:rsidR="00061E3B" w:rsidRPr="00AE09E1" w:rsidRDefault="00A67467" w:rsidP="00794AA8">
      <w:pPr>
        <w:pStyle w:val="Heading1"/>
        <w:numPr>
          <w:ilvl w:val="0"/>
          <w:numId w:val="29"/>
        </w:numPr>
      </w:pPr>
      <w:bookmarkStart w:id="132" w:name="_Toc461530157"/>
      <w:bookmarkStart w:id="133" w:name="_Ref501708737"/>
      <w:bookmarkStart w:id="134" w:name="_Toc421277310"/>
      <w:r w:rsidRPr="00AE09E1">
        <w:t xml:space="preserve">Keeping data and </w:t>
      </w:r>
      <w:bookmarkEnd w:id="132"/>
      <w:bookmarkEnd w:id="133"/>
      <w:r w:rsidRPr="00AE09E1">
        <w:t>destroying it</w:t>
      </w:r>
      <w:bookmarkEnd w:id="134"/>
    </w:p>
    <w:p w14:paraId="0AF5599E" w14:textId="351C631A" w:rsidR="009C1328" w:rsidRPr="00AE09E1" w:rsidRDefault="00061E3B" w:rsidP="00794AA8">
      <w:pPr>
        <w:pStyle w:val="Heading2"/>
        <w:numPr>
          <w:ilvl w:val="1"/>
          <w:numId w:val="29"/>
        </w:numPr>
        <w:rPr>
          <w:rFonts w:cs="Arial"/>
          <w:color w:val="auto"/>
        </w:rPr>
      </w:pPr>
      <w:r w:rsidRPr="00AE09E1">
        <w:rPr>
          <w:rFonts w:cs="Arial"/>
          <w:color w:val="auto"/>
        </w:rPr>
        <w:t xml:space="preserve">We will not keep personal data longer than is necessary for the purposes </w:t>
      </w:r>
      <w:r w:rsidR="009C1328" w:rsidRPr="00AE09E1">
        <w:rPr>
          <w:rFonts w:cs="Arial"/>
          <w:color w:val="auto"/>
        </w:rPr>
        <w:t xml:space="preserve">that </w:t>
      </w:r>
      <w:r w:rsidR="008D30D3" w:rsidRPr="00AE09E1">
        <w:rPr>
          <w:rFonts w:cs="Arial"/>
          <w:color w:val="auto"/>
        </w:rPr>
        <w:t>it was</w:t>
      </w:r>
      <w:r w:rsidRPr="00AE09E1">
        <w:rPr>
          <w:rFonts w:cs="Arial"/>
          <w:color w:val="auto"/>
        </w:rPr>
        <w:t xml:space="preserve"> collected </w:t>
      </w:r>
      <w:r w:rsidR="009C1328" w:rsidRPr="00AE09E1">
        <w:rPr>
          <w:rFonts w:cs="Arial"/>
          <w:color w:val="auto"/>
        </w:rPr>
        <w:t xml:space="preserve">for. We </w:t>
      </w:r>
      <w:r w:rsidRPr="00AE09E1">
        <w:rPr>
          <w:rFonts w:cs="Arial"/>
          <w:color w:val="auto"/>
        </w:rPr>
        <w:t xml:space="preserve">will comply with </w:t>
      </w:r>
      <w:r w:rsidR="008944A7" w:rsidRPr="00AE09E1">
        <w:rPr>
          <w:rFonts w:cs="Arial"/>
          <w:color w:val="auto"/>
        </w:rPr>
        <w:t>official guidance issued</w:t>
      </w:r>
      <w:r w:rsidR="005149AF" w:rsidRPr="00AE09E1">
        <w:rPr>
          <w:rFonts w:cs="Arial"/>
          <w:color w:val="auto"/>
        </w:rPr>
        <w:t xml:space="preserve"> </w:t>
      </w:r>
      <w:r w:rsidR="009C1328" w:rsidRPr="00AE09E1">
        <w:rPr>
          <w:rFonts w:cs="Arial"/>
          <w:color w:val="auto"/>
        </w:rPr>
        <w:t xml:space="preserve">about </w:t>
      </w:r>
      <w:r w:rsidRPr="00AE09E1">
        <w:rPr>
          <w:rFonts w:cs="Arial"/>
          <w:color w:val="auto"/>
        </w:rPr>
        <w:t xml:space="preserve">retention periods for specific </w:t>
      </w:r>
      <w:r w:rsidR="009C1328" w:rsidRPr="00AE09E1">
        <w:rPr>
          <w:rFonts w:cs="Arial"/>
          <w:color w:val="auto"/>
        </w:rPr>
        <w:t>records</w:t>
      </w:r>
      <w:r w:rsidRPr="00AE09E1">
        <w:rPr>
          <w:rFonts w:cs="Arial"/>
          <w:color w:val="auto"/>
        </w:rPr>
        <w:t xml:space="preserve">. </w:t>
      </w:r>
    </w:p>
    <w:p w14:paraId="71036AEF" w14:textId="21E06B12" w:rsidR="00B520E7" w:rsidRPr="00205CA0" w:rsidRDefault="00B520E7" w:rsidP="00794AA8">
      <w:pPr>
        <w:pStyle w:val="Heading2"/>
        <w:numPr>
          <w:ilvl w:val="1"/>
          <w:numId w:val="29"/>
        </w:numPr>
        <w:rPr>
          <w:rFonts w:cs="Arial"/>
        </w:rPr>
      </w:pPr>
      <w:r>
        <w:rPr>
          <w:rFonts w:cs="Arial"/>
        </w:rPr>
        <w:t xml:space="preserve">Information about how long we will keep records for can be found in our </w:t>
      </w:r>
      <w:r w:rsidR="006C5973">
        <w:rPr>
          <w:rFonts w:cs="Arial"/>
        </w:rPr>
        <w:t>Privacy Notice</w:t>
      </w:r>
      <w:r w:rsidR="00205CA0">
        <w:rPr>
          <w:rFonts w:cs="Arial"/>
        </w:rPr>
        <w:t>.</w:t>
      </w:r>
    </w:p>
    <w:p w14:paraId="0FEB7A4C" w14:textId="77777777" w:rsidR="006933A6" w:rsidRPr="00030AD1" w:rsidRDefault="006933A6" w:rsidP="00794AA8">
      <w:pPr>
        <w:pStyle w:val="Heading1"/>
        <w:numPr>
          <w:ilvl w:val="0"/>
          <w:numId w:val="29"/>
        </w:numPr>
      </w:pPr>
      <w:bookmarkStart w:id="135" w:name="_Toc461530161"/>
      <w:bookmarkStart w:id="136" w:name="_Ref499133017"/>
      <w:bookmarkStart w:id="137" w:name="_Ref501708748"/>
      <w:bookmarkStart w:id="138" w:name="_Toc421277311"/>
      <w:r>
        <w:t>Security of personal data</w:t>
      </w:r>
      <w:bookmarkEnd w:id="135"/>
      <w:bookmarkEnd w:id="136"/>
      <w:bookmarkEnd w:id="137"/>
      <w:bookmarkEnd w:id="138"/>
    </w:p>
    <w:p w14:paraId="57BF7C31" w14:textId="4DF77251" w:rsidR="006933A6" w:rsidRPr="0095784B" w:rsidRDefault="006933A6" w:rsidP="00794AA8">
      <w:pPr>
        <w:pStyle w:val="Heading2"/>
        <w:numPr>
          <w:ilvl w:val="1"/>
          <w:numId w:val="29"/>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231A671A" w:rsidR="006933A6" w:rsidRDefault="006933A6" w:rsidP="00794AA8">
      <w:pPr>
        <w:pStyle w:val="Heading2"/>
        <w:numPr>
          <w:ilvl w:val="1"/>
          <w:numId w:val="29"/>
        </w:numPr>
      </w:pPr>
      <w:r>
        <w:t>We w</w:t>
      </w:r>
      <w:r w:rsidR="005E455E">
        <w:t>ill implement security measures</w:t>
      </w:r>
      <w:r w:rsidR="00FC140E">
        <w:t xml:space="preserve"> that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794AA8">
      <w:pPr>
        <w:pStyle w:val="Heading3"/>
        <w:numPr>
          <w:ilvl w:val="2"/>
          <w:numId w:val="29"/>
        </w:numPr>
      </w:pPr>
      <w:proofErr w:type="gramStart"/>
      <w:r>
        <w:t>the</w:t>
      </w:r>
      <w:proofErr w:type="gramEnd"/>
      <w:r>
        <w:t xml:space="preserve"> quality of the security measure;</w:t>
      </w:r>
    </w:p>
    <w:p w14:paraId="1ED77AC1" w14:textId="77777777" w:rsidR="006933A6" w:rsidRDefault="006933A6" w:rsidP="00794AA8">
      <w:pPr>
        <w:pStyle w:val="Heading3"/>
        <w:numPr>
          <w:ilvl w:val="2"/>
          <w:numId w:val="29"/>
        </w:numPr>
      </w:pPr>
      <w:proofErr w:type="gramStart"/>
      <w:r>
        <w:t>the</w:t>
      </w:r>
      <w:proofErr w:type="gramEnd"/>
      <w:r>
        <w:t xml:space="preserve"> costs of implementation;</w:t>
      </w:r>
    </w:p>
    <w:p w14:paraId="4B8D0B84" w14:textId="77777777" w:rsidR="006933A6" w:rsidRDefault="006933A6" w:rsidP="00794AA8">
      <w:pPr>
        <w:pStyle w:val="Heading3"/>
        <w:numPr>
          <w:ilvl w:val="2"/>
          <w:numId w:val="29"/>
        </w:numPr>
      </w:pPr>
      <w:proofErr w:type="gramStart"/>
      <w:r>
        <w:t>the</w:t>
      </w:r>
      <w:proofErr w:type="gramEnd"/>
      <w:r>
        <w:t xml:space="preserve"> nature, scope, context and purpose of processing;</w:t>
      </w:r>
    </w:p>
    <w:p w14:paraId="7CFF92C7" w14:textId="4BF8E171" w:rsidR="006933A6" w:rsidRDefault="006933A6" w:rsidP="00794AA8">
      <w:pPr>
        <w:pStyle w:val="Heading3"/>
        <w:numPr>
          <w:ilvl w:val="2"/>
          <w:numId w:val="29"/>
        </w:numPr>
      </w:pPr>
      <w:proofErr w:type="gramStart"/>
      <w:r>
        <w:t>the</w:t>
      </w:r>
      <w:proofErr w:type="gramEnd"/>
      <w:r>
        <w:t xml:space="preserve"> risk (of vary</w:t>
      </w:r>
      <w:r w:rsidR="00EE53BB">
        <w:t xml:space="preserve">ing likelihood and severity) to </w:t>
      </w:r>
      <w:r>
        <w:t xml:space="preserve">the rights and freedoms of </w:t>
      </w:r>
      <w:r w:rsidR="00EE53BB">
        <w:t>data subjects;</w:t>
      </w:r>
    </w:p>
    <w:p w14:paraId="6E5B9F3D" w14:textId="0359CC7F" w:rsidR="00EE53BB" w:rsidRDefault="00EE53BB" w:rsidP="00794AA8">
      <w:pPr>
        <w:pStyle w:val="Heading3"/>
        <w:numPr>
          <w:ilvl w:val="2"/>
          <w:numId w:val="29"/>
        </w:numPr>
      </w:pPr>
      <w:proofErr w:type="gramStart"/>
      <w:r>
        <w:t>the</w:t>
      </w:r>
      <w:proofErr w:type="gramEnd"/>
      <w:r>
        <w:t xml:space="preserve"> risk which could result from a data breach.</w:t>
      </w:r>
    </w:p>
    <w:p w14:paraId="154551C9" w14:textId="762E87CF" w:rsidR="006933A6" w:rsidRDefault="003821B0" w:rsidP="00794AA8">
      <w:pPr>
        <w:pStyle w:val="Heading2"/>
        <w:numPr>
          <w:ilvl w:val="1"/>
          <w:numId w:val="29"/>
        </w:numPr>
        <w:rPr>
          <w:rFonts w:cs="Arial"/>
        </w:rPr>
      </w:pPr>
      <w:r>
        <w:rPr>
          <w:rFonts w:cs="Arial"/>
        </w:rPr>
        <w:t>Measures</w:t>
      </w:r>
      <w:r w:rsidR="006933A6">
        <w:rPr>
          <w:rFonts w:cs="Arial"/>
        </w:rPr>
        <w:t xml:space="preserve"> may include:</w:t>
      </w:r>
    </w:p>
    <w:p w14:paraId="49278ABF" w14:textId="77777777" w:rsidR="0061748E" w:rsidRPr="0061748E" w:rsidRDefault="001E5F07" w:rsidP="00794AA8">
      <w:pPr>
        <w:pStyle w:val="Heading3"/>
        <w:numPr>
          <w:ilvl w:val="2"/>
          <w:numId w:val="29"/>
        </w:numPr>
      </w:pPr>
      <w:proofErr w:type="gramStart"/>
      <w:r>
        <w:t>technical</w:t>
      </w:r>
      <w:proofErr w:type="gramEnd"/>
      <w:r>
        <w:t xml:space="preserve"> systems security;</w:t>
      </w:r>
      <w:r w:rsidR="0061748E" w:rsidRPr="0061748E">
        <w:rPr>
          <w:highlight w:val="yellow"/>
        </w:rPr>
        <w:t xml:space="preserve"> </w:t>
      </w:r>
    </w:p>
    <w:p w14:paraId="4CBEA5AA" w14:textId="598471A7" w:rsidR="001E5F07" w:rsidRPr="0061748E" w:rsidRDefault="0061748E" w:rsidP="00794AA8">
      <w:pPr>
        <w:pStyle w:val="Heading3"/>
        <w:numPr>
          <w:ilvl w:val="2"/>
          <w:numId w:val="29"/>
        </w:numPr>
      </w:pPr>
      <w:proofErr w:type="gramStart"/>
      <w:r w:rsidRPr="0061748E">
        <w:t>measures</w:t>
      </w:r>
      <w:proofErr w:type="gramEnd"/>
      <w:r w:rsidRPr="0061748E">
        <w:t xml:space="preserve"> to restrict or minimise access to data;</w:t>
      </w:r>
    </w:p>
    <w:p w14:paraId="490902DD" w14:textId="272C1C71" w:rsidR="0061748E" w:rsidRPr="0061748E" w:rsidRDefault="0061748E" w:rsidP="00794AA8">
      <w:pPr>
        <w:pStyle w:val="Heading3"/>
        <w:numPr>
          <w:ilvl w:val="2"/>
          <w:numId w:val="29"/>
        </w:numPr>
      </w:pPr>
      <w:proofErr w:type="gramStart"/>
      <w:r w:rsidRPr="0061748E">
        <w:t>measures</w:t>
      </w:r>
      <w:proofErr w:type="gramEnd"/>
      <w:r w:rsidRPr="0061748E">
        <w:t xml:space="preserve"> to ensure our systems and data remain available, or can be easily restored in the case of an incident;</w:t>
      </w:r>
    </w:p>
    <w:p w14:paraId="19DAAE19" w14:textId="624BEB4C" w:rsidR="001E5F07" w:rsidRPr="0061748E" w:rsidRDefault="001E5F07" w:rsidP="00794AA8">
      <w:pPr>
        <w:pStyle w:val="Heading3"/>
        <w:numPr>
          <w:ilvl w:val="2"/>
          <w:numId w:val="29"/>
        </w:numPr>
      </w:pPr>
      <w:proofErr w:type="gramStart"/>
      <w:r w:rsidRPr="0061748E">
        <w:t>physical</w:t>
      </w:r>
      <w:proofErr w:type="gramEnd"/>
      <w:r w:rsidRPr="0061748E">
        <w:t xml:space="preserve"> security of information and </w:t>
      </w:r>
      <w:r w:rsidR="0061748E" w:rsidRPr="0061748E">
        <w:t xml:space="preserve">of </w:t>
      </w:r>
      <w:r w:rsidRPr="0061748E">
        <w:t>our premises;</w:t>
      </w:r>
    </w:p>
    <w:p w14:paraId="7555AD93" w14:textId="79BFB80A" w:rsidR="001E5F07" w:rsidRPr="0061748E" w:rsidRDefault="001E5F07" w:rsidP="00794AA8">
      <w:pPr>
        <w:pStyle w:val="Heading3"/>
        <w:numPr>
          <w:ilvl w:val="2"/>
          <w:numId w:val="29"/>
        </w:numPr>
      </w:pPr>
      <w:proofErr w:type="gramStart"/>
      <w:r w:rsidRPr="0061748E">
        <w:t>organisational</w:t>
      </w:r>
      <w:proofErr w:type="gramEnd"/>
      <w:r w:rsidRPr="0061748E">
        <w:t xml:space="preserve"> measures, including policies, procedures, training and audits;</w:t>
      </w:r>
    </w:p>
    <w:p w14:paraId="02AA76C3" w14:textId="309B7259" w:rsidR="006933A6" w:rsidRPr="0061748E" w:rsidRDefault="001E5F07" w:rsidP="00794AA8">
      <w:pPr>
        <w:pStyle w:val="Heading3"/>
        <w:numPr>
          <w:ilvl w:val="2"/>
          <w:numId w:val="29"/>
        </w:numPr>
      </w:pPr>
      <w:proofErr w:type="gramStart"/>
      <w:r w:rsidRPr="0061748E">
        <w:lastRenderedPageBreak/>
        <w:t>regular</w:t>
      </w:r>
      <w:proofErr w:type="gramEnd"/>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794AA8">
      <w:pPr>
        <w:pStyle w:val="Heading1"/>
        <w:numPr>
          <w:ilvl w:val="0"/>
          <w:numId w:val="29"/>
        </w:numPr>
      </w:pPr>
      <w:bookmarkStart w:id="139" w:name="_Ref499647572"/>
      <w:bookmarkStart w:id="140" w:name="_Toc461530165"/>
      <w:bookmarkStart w:id="141" w:name="_Toc421277312"/>
      <w:r>
        <w:t>K</w:t>
      </w:r>
      <w:r w:rsidR="006933A6">
        <w:t>eeping</w:t>
      </w:r>
      <w:bookmarkEnd w:id="139"/>
      <w:r w:rsidR="0087158A" w:rsidRPr="0087158A">
        <w:t xml:space="preserve"> </w:t>
      </w:r>
      <w:r>
        <w:t>records</w:t>
      </w:r>
      <w:r w:rsidR="0087158A">
        <w:t xml:space="preserve"> </w:t>
      </w:r>
      <w:r>
        <w:t>of our data processing</w:t>
      </w:r>
      <w:bookmarkEnd w:id="141"/>
    </w:p>
    <w:p w14:paraId="1D31779E" w14:textId="35D0C603" w:rsidR="006933A6" w:rsidRDefault="006D509D" w:rsidP="00794AA8">
      <w:pPr>
        <w:pStyle w:val="Heading2"/>
        <w:numPr>
          <w:ilvl w:val="1"/>
          <w:numId w:val="29"/>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2" w:name="a850684"/>
      <w:bookmarkStart w:id="143" w:name="_Toc421277313"/>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3"/>
    </w:p>
    <w:p w14:paraId="36AA7210" w14:textId="71C1F984" w:rsidR="00F05763" w:rsidRPr="00F74CA6" w:rsidRDefault="00A67467" w:rsidP="00794AA8">
      <w:pPr>
        <w:pStyle w:val="Heading1"/>
        <w:numPr>
          <w:ilvl w:val="0"/>
          <w:numId w:val="29"/>
        </w:numPr>
      </w:pPr>
      <w:bookmarkStart w:id="144" w:name="_Ref497145663"/>
      <w:bookmarkStart w:id="145" w:name="_Toc501711625"/>
      <w:bookmarkStart w:id="146" w:name="_Toc461530159"/>
      <w:bookmarkStart w:id="147" w:name="_Toc421277314"/>
      <w:r>
        <w:t xml:space="preserve">Data subjects’ </w:t>
      </w:r>
      <w:r w:rsidR="00F05763">
        <w:t>rights</w:t>
      </w:r>
      <w:bookmarkEnd w:id="147"/>
      <w:r w:rsidR="00E00E8F">
        <w:t xml:space="preserve"> </w:t>
      </w:r>
    </w:p>
    <w:p w14:paraId="43E6A036" w14:textId="1B7B625F" w:rsidR="00F05763" w:rsidRPr="00C8624E" w:rsidRDefault="00184EEF" w:rsidP="00794AA8">
      <w:pPr>
        <w:pStyle w:val="Heading2"/>
        <w:numPr>
          <w:ilvl w:val="1"/>
          <w:numId w:val="29"/>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794AA8">
      <w:pPr>
        <w:pStyle w:val="Heading3"/>
        <w:numPr>
          <w:ilvl w:val="2"/>
          <w:numId w:val="29"/>
        </w:numPr>
        <w:rPr>
          <w:rFonts w:cs="Arial"/>
          <w:szCs w:val="22"/>
        </w:rPr>
      </w:pPr>
      <w:proofErr w:type="gramStart"/>
      <w:r>
        <w:rPr>
          <w:rFonts w:cs="Arial"/>
          <w:szCs w:val="22"/>
        </w:rPr>
        <w:t>r</w:t>
      </w:r>
      <w:r w:rsidRPr="00C8624E">
        <w:rPr>
          <w:rFonts w:cs="Arial"/>
          <w:szCs w:val="22"/>
        </w:rPr>
        <w:t>equest</w:t>
      </w:r>
      <w:proofErr w:type="gramEnd"/>
      <w:r w:rsidRPr="00C8624E">
        <w:rPr>
          <w:rFonts w:cs="Arial"/>
          <w:szCs w:val="22"/>
        </w:rPr>
        <w:t xml:space="preserve">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794AA8">
      <w:pPr>
        <w:pStyle w:val="Heading3"/>
        <w:numPr>
          <w:ilvl w:val="2"/>
          <w:numId w:val="29"/>
        </w:numPr>
        <w:rPr>
          <w:rFonts w:cs="Arial"/>
          <w:szCs w:val="22"/>
        </w:rPr>
      </w:pPr>
      <w:proofErr w:type="gramStart"/>
      <w:r>
        <w:rPr>
          <w:rFonts w:cs="Arial"/>
          <w:szCs w:val="22"/>
        </w:rPr>
        <w:t>a</w:t>
      </w:r>
      <w:r w:rsidRPr="00C8624E">
        <w:rPr>
          <w:rFonts w:cs="Arial"/>
          <w:szCs w:val="22"/>
        </w:rPr>
        <w:t>sk</w:t>
      </w:r>
      <w:proofErr w:type="gramEnd"/>
      <w:r w:rsidRPr="00C8624E">
        <w:rPr>
          <w:rFonts w:cs="Arial"/>
          <w:szCs w:val="22"/>
        </w:rPr>
        <w:t xml:space="preserve"> to have inaccurate personal data </w:t>
      </w:r>
      <w:r>
        <w:rPr>
          <w:rFonts w:cs="Arial"/>
          <w:szCs w:val="22"/>
        </w:rPr>
        <w:t xml:space="preserve">changed; </w:t>
      </w:r>
    </w:p>
    <w:p w14:paraId="212BEDC6" w14:textId="77777777" w:rsidR="00184EEF" w:rsidRDefault="00184EEF" w:rsidP="00794AA8">
      <w:pPr>
        <w:pStyle w:val="Heading3"/>
        <w:numPr>
          <w:ilvl w:val="2"/>
          <w:numId w:val="29"/>
        </w:numPr>
        <w:rPr>
          <w:rFonts w:cs="Arial"/>
          <w:szCs w:val="22"/>
        </w:rPr>
      </w:pPr>
      <w:proofErr w:type="gramStart"/>
      <w:r>
        <w:rPr>
          <w:rFonts w:cs="Arial"/>
          <w:szCs w:val="22"/>
        </w:rPr>
        <w:t>restrict</w:t>
      </w:r>
      <w:proofErr w:type="gramEnd"/>
      <w:r>
        <w:rPr>
          <w:rFonts w:cs="Arial"/>
          <w:szCs w:val="22"/>
        </w:rPr>
        <w:t xml:space="preserve"> processing, in certain circumstances; </w:t>
      </w:r>
    </w:p>
    <w:p w14:paraId="4B1D0C0B" w14:textId="5EFAB543" w:rsidR="00F05763" w:rsidRDefault="00F05763" w:rsidP="00794AA8">
      <w:pPr>
        <w:pStyle w:val="Heading3"/>
        <w:numPr>
          <w:ilvl w:val="2"/>
          <w:numId w:val="29"/>
        </w:numPr>
        <w:rPr>
          <w:rFonts w:cs="Arial"/>
          <w:szCs w:val="22"/>
        </w:rPr>
      </w:pPr>
      <w:proofErr w:type="gramStart"/>
      <w:r>
        <w:rPr>
          <w:rFonts w:cs="Arial"/>
          <w:szCs w:val="22"/>
        </w:rPr>
        <w:t>object</w:t>
      </w:r>
      <w:proofErr w:type="gramEnd"/>
      <w:r>
        <w:rPr>
          <w:rFonts w:cs="Arial"/>
          <w:szCs w:val="22"/>
        </w:rPr>
        <w:t xml:space="preserve">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794AA8">
      <w:pPr>
        <w:pStyle w:val="Heading3"/>
        <w:numPr>
          <w:ilvl w:val="2"/>
          <w:numId w:val="29"/>
        </w:numPr>
        <w:rPr>
          <w:rFonts w:cs="Arial"/>
          <w:szCs w:val="22"/>
        </w:rPr>
      </w:pPr>
      <w:proofErr w:type="gramStart"/>
      <w:r>
        <w:rPr>
          <w:rFonts w:cs="Arial"/>
          <w:szCs w:val="22"/>
        </w:rPr>
        <w:t>data</w:t>
      </w:r>
      <w:proofErr w:type="gramEnd"/>
      <w:r>
        <w:rPr>
          <w:rFonts w:cs="Arial"/>
          <w:szCs w:val="22"/>
        </w:rPr>
        <w:t xml:space="preserve">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794AA8">
      <w:pPr>
        <w:pStyle w:val="Heading3"/>
        <w:numPr>
          <w:ilvl w:val="2"/>
          <w:numId w:val="29"/>
        </w:numPr>
        <w:rPr>
          <w:rFonts w:cs="Arial"/>
          <w:szCs w:val="22"/>
        </w:rPr>
      </w:pPr>
      <w:proofErr w:type="gramStart"/>
      <w:r>
        <w:rPr>
          <w:rFonts w:cs="Arial"/>
          <w:szCs w:val="22"/>
        </w:rPr>
        <w:t>not</w:t>
      </w:r>
      <w:proofErr w:type="gramEnd"/>
      <w:r>
        <w:rPr>
          <w:rFonts w:cs="Arial"/>
          <w:szCs w:val="22"/>
        </w:rPr>
        <w:t xml:space="preserve">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794AA8">
      <w:pPr>
        <w:pStyle w:val="Heading3"/>
        <w:numPr>
          <w:ilvl w:val="2"/>
          <w:numId w:val="29"/>
        </w:numPr>
        <w:rPr>
          <w:rFonts w:cs="Arial"/>
          <w:szCs w:val="22"/>
        </w:rPr>
      </w:pPr>
      <w:proofErr w:type="gramStart"/>
      <w:r>
        <w:rPr>
          <w:rFonts w:cs="Arial"/>
          <w:szCs w:val="22"/>
        </w:rPr>
        <w:t>withdraw</w:t>
      </w:r>
      <w:proofErr w:type="gramEnd"/>
      <w:r>
        <w:rPr>
          <w:rFonts w:cs="Arial"/>
          <w:szCs w:val="22"/>
        </w:rPr>
        <w:t xml:space="preserve"> consent when we are relying on consent to process their data.</w:t>
      </w:r>
    </w:p>
    <w:p w14:paraId="3463DF95" w14:textId="110458BA" w:rsidR="00F05763" w:rsidRDefault="00F05763" w:rsidP="00794AA8">
      <w:pPr>
        <w:pStyle w:val="Heading2"/>
        <w:numPr>
          <w:ilvl w:val="1"/>
          <w:numId w:val="29"/>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8944A7">
        <w:t>Data Protection Contact</w:t>
      </w:r>
      <w:r w:rsidRPr="00D8589F">
        <w:t xml:space="preserve"> </w:t>
      </w:r>
      <w:r w:rsidRPr="00D8589F">
        <w:rPr>
          <w:b/>
        </w:rPr>
        <w:t>immediately</w:t>
      </w:r>
      <w:r>
        <w:t>.</w:t>
      </w:r>
    </w:p>
    <w:p w14:paraId="0F2F1900" w14:textId="76A1DFF0" w:rsidR="00C61AE0" w:rsidRDefault="008E1CC6" w:rsidP="00794AA8">
      <w:pPr>
        <w:pStyle w:val="Heading2"/>
        <w:numPr>
          <w:ilvl w:val="1"/>
          <w:numId w:val="29"/>
        </w:numPr>
      </w:pPr>
      <w:r>
        <w:t xml:space="preserve">We will act on all valid requests as soon as possible, and at the latest within </w:t>
      </w:r>
      <w:r w:rsidR="008944A7">
        <w:rPr>
          <w:b/>
        </w:rPr>
        <w:t>28 days</w:t>
      </w:r>
      <w:r>
        <w:t xml:space="preserve">, unless we have reason to, and can lawfully extend the timescale. This can be extended by up to two months in some circumstances. </w:t>
      </w:r>
    </w:p>
    <w:p w14:paraId="642B04F4" w14:textId="3163187C" w:rsidR="0098379C" w:rsidRDefault="0098379C" w:rsidP="00794AA8">
      <w:pPr>
        <w:pStyle w:val="Heading2"/>
        <w:numPr>
          <w:ilvl w:val="1"/>
          <w:numId w:val="29"/>
        </w:numPr>
      </w:pPr>
      <w:r>
        <w:t>All data subjects’ rights are provided free of charge.</w:t>
      </w:r>
    </w:p>
    <w:p w14:paraId="52860671" w14:textId="272D2F2A" w:rsidR="00F05763" w:rsidRDefault="00F05763" w:rsidP="00794AA8">
      <w:pPr>
        <w:pStyle w:val="Heading2"/>
        <w:numPr>
          <w:ilvl w:val="1"/>
          <w:numId w:val="29"/>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40398B">
      <w:pPr>
        <w:pStyle w:val="Heading1"/>
        <w:numPr>
          <w:ilvl w:val="0"/>
          <w:numId w:val="29"/>
        </w:numPr>
      </w:pPr>
      <w:bookmarkStart w:id="148" w:name="_Toc421277315"/>
      <w:r w:rsidRPr="00B520E7">
        <w:t>D</w:t>
      </w:r>
      <w:r>
        <w:t>irect marketing</w:t>
      </w:r>
      <w:bookmarkEnd w:id="148"/>
    </w:p>
    <w:p w14:paraId="37E33A6D" w14:textId="39AD8B49" w:rsidR="0040398B" w:rsidRPr="00266AEB" w:rsidRDefault="0040398B" w:rsidP="0040398B">
      <w:pPr>
        <w:pStyle w:val="Heading2"/>
        <w:numPr>
          <w:ilvl w:val="1"/>
          <w:numId w:val="29"/>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GDPR, the Privacy and Electronic Communications Regulations (PECR) and any </w:t>
      </w:r>
      <w:proofErr w:type="gramStart"/>
      <w:r>
        <w:rPr>
          <w:rFonts w:cs="Arial"/>
          <w:szCs w:val="22"/>
        </w:rPr>
        <w:t>laws which</w:t>
      </w:r>
      <w:proofErr w:type="gramEnd"/>
      <w:r>
        <w:rPr>
          <w:rFonts w:cs="Arial"/>
          <w:szCs w:val="22"/>
        </w:rPr>
        <w:t xml:space="preserve"> may amend or replace the regulations </w:t>
      </w:r>
      <w:r w:rsidRPr="00970A3B">
        <w:rPr>
          <w:rFonts w:cs="Arial"/>
          <w:color w:val="auto"/>
          <w:szCs w:val="22"/>
        </w:rPr>
        <w:t xml:space="preserve">around </w:t>
      </w:r>
      <w:r w:rsidRPr="00970A3B">
        <w:rPr>
          <w:rFonts w:cs="Arial"/>
          <w:b/>
          <w:color w:val="auto"/>
          <w:szCs w:val="22"/>
        </w:rPr>
        <w:t>direct marketing</w:t>
      </w:r>
      <w:r w:rsidRPr="00970A3B">
        <w:rPr>
          <w:rFonts w:cs="Arial"/>
          <w:color w:val="auto"/>
          <w:szCs w:val="22"/>
        </w:rPr>
        <w:t>. This includes</w:t>
      </w:r>
      <w:r>
        <w:rPr>
          <w:rFonts w:cs="Arial"/>
          <w:szCs w:val="22"/>
        </w:rPr>
        <w:t xml:space="preserve">, but is not limited to, when we make </w:t>
      </w:r>
      <w:r>
        <w:rPr>
          <w:rFonts w:cs="Arial"/>
          <w:szCs w:val="22"/>
        </w:rPr>
        <w:lastRenderedPageBreak/>
        <w:t xml:space="preserve">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77777777"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w:t>
      </w:r>
      <w:proofErr w:type="gramStart"/>
      <w:r w:rsidRPr="00C37796">
        <w:rPr>
          <w:rFonts w:cs="Arial"/>
          <w:sz w:val="20"/>
          <w:szCs w:val="22"/>
        </w:rPr>
        <w:t>material which</w:t>
      </w:r>
      <w:proofErr w:type="gramEnd"/>
      <w:r w:rsidRPr="00C37796">
        <w:rPr>
          <w:rFonts w:cs="Arial"/>
          <w:sz w:val="20"/>
          <w:szCs w:val="22"/>
        </w:rPr>
        <w:t xml:space="preserve">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anything, or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07F38443" w:rsidR="0040398B" w:rsidRPr="00B513F1" w:rsidRDefault="0040398B" w:rsidP="00B513F1">
      <w:pPr>
        <w:pStyle w:val="Heading2"/>
        <w:numPr>
          <w:ilvl w:val="1"/>
          <w:numId w:val="29"/>
        </w:numPr>
        <w:rPr>
          <w:rFonts w:cs="Arial"/>
          <w:sz w:val="20"/>
        </w:rPr>
      </w:pPr>
      <w:r>
        <w:rPr>
          <w:rFonts w:cs="Arial"/>
        </w:rPr>
        <w:t xml:space="preserve">Any direct marketing material that we send will identify </w:t>
      </w:r>
      <w:proofErr w:type="spellStart"/>
      <w:r w:rsidR="00AF5A70">
        <w:rPr>
          <w:rFonts w:cs="Arial"/>
        </w:rPr>
        <w:t>SeeKenya</w:t>
      </w:r>
      <w:proofErr w:type="spellEnd"/>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9" w:name="_Toc421277316"/>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9"/>
    </w:p>
    <w:p w14:paraId="75A2C28C" w14:textId="69E786FD" w:rsidR="001D3E94" w:rsidRPr="00030AD1" w:rsidRDefault="00D92A40" w:rsidP="00794AA8">
      <w:pPr>
        <w:pStyle w:val="Heading1"/>
        <w:numPr>
          <w:ilvl w:val="0"/>
          <w:numId w:val="29"/>
        </w:numPr>
      </w:pPr>
      <w:bookmarkStart w:id="150" w:name="_Toc461530160"/>
      <w:bookmarkStart w:id="151" w:name="_Ref498011584"/>
      <w:bookmarkStart w:id="152" w:name="_Toc421277317"/>
      <w:bookmarkEnd w:id="142"/>
      <w:r>
        <w:t xml:space="preserve">Sharing </w:t>
      </w:r>
      <w:r w:rsidR="00972108">
        <w:t xml:space="preserve">information </w:t>
      </w:r>
      <w:r>
        <w:t xml:space="preserve">with </w:t>
      </w:r>
      <w:bookmarkEnd w:id="150"/>
      <w:bookmarkEnd w:id="151"/>
      <w:r>
        <w:t>other organisations</w:t>
      </w:r>
      <w:bookmarkEnd w:id="152"/>
    </w:p>
    <w:p w14:paraId="4EDCF15A" w14:textId="37E1E7B6" w:rsidR="001D3E94" w:rsidRPr="00A848C2" w:rsidRDefault="001D3E94" w:rsidP="00205CA0">
      <w:pPr>
        <w:pStyle w:val="Heading2"/>
        <w:numPr>
          <w:ilvl w:val="1"/>
          <w:numId w:val="29"/>
        </w:numPr>
        <w:rPr>
          <w:color w:val="auto"/>
        </w:rPr>
      </w:pPr>
      <w:r w:rsidRPr="00970A3B">
        <w:rPr>
          <w:rFonts w:cs="Arial"/>
          <w:color w:val="auto"/>
        </w:rPr>
        <w:t xml:space="preserve">We will only </w:t>
      </w:r>
      <w:r w:rsidR="00525B65" w:rsidRPr="00970A3B">
        <w:rPr>
          <w:rFonts w:cs="Arial"/>
          <w:color w:val="auto"/>
        </w:rPr>
        <w:t xml:space="preserve">share </w:t>
      </w:r>
      <w:r w:rsidRPr="00970A3B">
        <w:rPr>
          <w:rFonts w:cs="Arial"/>
          <w:color w:val="auto"/>
        </w:rPr>
        <w:t xml:space="preserve">personal data </w:t>
      </w:r>
      <w:r w:rsidR="00525B65" w:rsidRPr="00970A3B">
        <w:rPr>
          <w:rFonts w:cs="Arial"/>
          <w:color w:val="auto"/>
        </w:rPr>
        <w:t xml:space="preserve">with other organisations or people </w:t>
      </w:r>
      <w:r w:rsidR="00260939" w:rsidRPr="00970A3B">
        <w:rPr>
          <w:rFonts w:cs="Arial"/>
          <w:color w:val="auto"/>
        </w:rPr>
        <w:t xml:space="preserve">when we have </w:t>
      </w:r>
      <w:r w:rsidR="0044484E" w:rsidRPr="00970A3B">
        <w:rPr>
          <w:rFonts w:cs="Arial"/>
          <w:color w:val="auto"/>
        </w:rPr>
        <w:t xml:space="preserve">a </w:t>
      </w:r>
      <w:r w:rsidR="00260939" w:rsidRPr="00970A3B">
        <w:rPr>
          <w:rFonts w:cs="Arial"/>
          <w:color w:val="auto"/>
        </w:rPr>
        <w:t xml:space="preserve">legal </w:t>
      </w:r>
      <w:r w:rsidR="0044484E" w:rsidRPr="00970A3B">
        <w:rPr>
          <w:rFonts w:cs="Arial"/>
          <w:color w:val="auto"/>
        </w:rPr>
        <w:t xml:space="preserve">basis </w:t>
      </w:r>
      <w:r w:rsidR="00260939" w:rsidRPr="00970A3B">
        <w:rPr>
          <w:rFonts w:cs="Arial"/>
          <w:color w:val="auto"/>
        </w:rPr>
        <w:t xml:space="preserve">to do so and if we have informed the data subject about the possibility of </w:t>
      </w:r>
      <w:r w:rsidR="00525B65" w:rsidRPr="00970A3B">
        <w:rPr>
          <w:rFonts w:cs="Arial"/>
          <w:color w:val="auto"/>
        </w:rPr>
        <w:t xml:space="preserve">the data being shared </w:t>
      </w:r>
      <w:r w:rsidR="00260939" w:rsidRPr="00970A3B">
        <w:rPr>
          <w:rFonts w:cs="Arial"/>
          <w:color w:val="auto"/>
        </w:rPr>
        <w:t>(in a privacy notice), unless legal exemptions apply</w:t>
      </w:r>
      <w:r w:rsidR="0044484E" w:rsidRPr="00970A3B">
        <w:rPr>
          <w:rFonts w:cs="Arial"/>
          <w:color w:val="auto"/>
        </w:rPr>
        <w:t xml:space="preserve"> to informing data subjects about the</w:t>
      </w:r>
      <w:r w:rsidR="0044484E">
        <w:rPr>
          <w:rFonts w:cs="Arial"/>
        </w:rPr>
        <w:t xml:space="preserv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B513F1">
        <w:rPr>
          <w:rFonts w:cs="Arial"/>
        </w:rPr>
        <w:t>s</w:t>
      </w:r>
      <w:r w:rsidR="008944A7">
        <w:rPr>
          <w:rFonts w:cs="Arial"/>
        </w:rPr>
        <w:t>taff/trustees</w:t>
      </w:r>
      <w:r w:rsidR="003C64E1">
        <w:rPr>
          <w:rFonts w:cs="Arial"/>
        </w:rPr>
        <w:t xml:space="preserve"> </w:t>
      </w:r>
      <w:r w:rsidRPr="00525B65">
        <w:rPr>
          <w:rFonts w:cs="Arial"/>
        </w:rPr>
        <w:t xml:space="preserve">are </w:t>
      </w:r>
      <w:r w:rsidR="003C64E1" w:rsidRPr="00A848C2">
        <w:rPr>
          <w:rFonts w:cs="Arial"/>
          <w:color w:val="auto"/>
        </w:rPr>
        <w:t xml:space="preserve">allowed </w:t>
      </w:r>
      <w:r w:rsidRPr="00A848C2">
        <w:rPr>
          <w:rFonts w:cs="Arial"/>
          <w:color w:val="auto"/>
        </w:rPr>
        <w:t xml:space="preserve">to </w:t>
      </w:r>
      <w:r w:rsidR="003C64E1" w:rsidRPr="00A848C2">
        <w:rPr>
          <w:rFonts w:cs="Arial"/>
          <w:color w:val="auto"/>
        </w:rPr>
        <w:t xml:space="preserve">share </w:t>
      </w:r>
      <w:r w:rsidRPr="00A848C2">
        <w:rPr>
          <w:rFonts w:cs="Arial"/>
          <w:color w:val="auto"/>
        </w:rPr>
        <w:t>personal data</w:t>
      </w:r>
      <w:r w:rsidR="0044484E" w:rsidRPr="00A848C2">
        <w:rPr>
          <w:rFonts w:cs="Arial"/>
          <w:color w:val="auto"/>
        </w:rPr>
        <w:t xml:space="preserve">. </w:t>
      </w:r>
    </w:p>
    <w:p w14:paraId="34CE7117" w14:textId="35833475" w:rsidR="001D3E94" w:rsidRPr="007A23A1" w:rsidRDefault="003C64E1" w:rsidP="00794AA8">
      <w:pPr>
        <w:pStyle w:val="Heading2"/>
        <w:numPr>
          <w:ilvl w:val="1"/>
          <w:numId w:val="29"/>
        </w:numPr>
        <w:rPr>
          <w:rFonts w:cs="Arial"/>
        </w:rPr>
      </w:pPr>
      <w:r w:rsidRPr="00A848C2">
        <w:rPr>
          <w:rFonts w:cs="Arial"/>
          <w:color w:val="auto"/>
        </w:rPr>
        <w:t xml:space="preserve">We will keep records of </w:t>
      </w:r>
      <w:r w:rsidR="001D3E94" w:rsidRPr="00A848C2">
        <w:rPr>
          <w:rFonts w:cs="Arial"/>
          <w:color w:val="auto"/>
        </w:rPr>
        <w:t xml:space="preserve">information </w:t>
      </w:r>
      <w:r w:rsidRPr="00A848C2">
        <w:rPr>
          <w:rFonts w:cs="Arial"/>
          <w:color w:val="auto"/>
        </w:rPr>
        <w:t xml:space="preserve">shared with </w:t>
      </w:r>
      <w:r w:rsidR="00380F41" w:rsidRPr="00A848C2">
        <w:rPr>
          <w:rFonts w:cs="Arial"/>
          <w:color w:val="auto"/>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3" w:history="1">
        <w:r w:rsidR="001D3E94" w:rsidRPr="007A23A1">
          <w:rPr>
            <w:rStyle w:val="Hyperlink"/>
            <w:rFonts w:cs="Arial"/>
            <w:b/>
            <w:i/>
          </w:rPr>
          <w:t>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794AA8">
      <w:pPr>
        <w:pStyle w:val="Heading1"/>
        <w:numPr>
          <w:ilvl w:val="0"/>
          <w:numId w:val="29"/>
        </w:numPr>
      </w:pPr>
      <w:bookmarkStart w:id="153" w:name="_Ref499633436"/>
      <w:bookmarkStart w:id="154" w:name="_Toc421277318"/>
      <w:r>
        <w:t>D</w:t>
      </w:r>
      <w:r w:rsidR="006933A6">
        <w:t>ata processors</w:t>
      </w:r>
      <w:bookmarkEnd w:id="153"/>
      <w:bookmarkEnd w:id="154"/>
    </w:p>
    <w:p w14:paraId="2EC1C047" w14:textId="6D9032F3" w:rsidR="006933A6" w:rsidRDefault="00443C37" w:rsidP="00794AA8">
      <w:pPr>
        <w:pStyle w:val="Heading2"/>
        <w:numPr>
          <w:ilvl w:val="1"/>
          <w:numId w:val="29"/>
        </w:numPr>
      </w:pPr>
      <w:bookmarkStart w:id="155" w:name="_Ref499645704"/>
      <w:bookmarkStart w:id="156" w:name="_Ref501711345"/>
      <w:r>
        <w:t>Before</w:t>
      </w:r>
      <w:r w:rsidR="006933A6">
        <w:t xml:space="preserve"> appointing a contractor who will process personal data on our behalf (a data processor) we will</w:t>
      </w:r>
      <w:r>
        <w:t xml:space="preserve"> </w:t>
      </w:r>
      <w:r w:rsidR="00D0706C">
        <w:t xml:space="preserve">carry out </w:t>
      </w:r>
      <w:r w:rsidR="006933A6">
        <w:t xml:space="preserve">due diligence </w:t>
      </w:r>
      <w:r w:rsidR="00D0706C">
        <w:t>checks</w:t>
      </w:r>
      <w:r>
        <w:t>. The checks are</w:t>
      </w:r>
      <w:r w:rsidR="00D0706C">
        <w:t xml:space="preserve"> </w:t>
      </w:r>
      <w:r w:rsidR="006933A6">
        <w:t xml:space="preserve">to </w:t>
      </w:r>
      <w:r w:rsidR="00D0706C">
        <w:t>make sure the</w:t>
      </w:r>
      <w:r>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 xml:space="preserve">the rights of data subjects. We will only appoint data processors </w:t>
      </w:r>
      <w:proofErr w:type="gramStart"/>
      <w:r w:rsidR="006933A6">
        <w:t>who</w:t>
      </w:r>
      <w:proofErr w:type="gramEnd"/>
      <w:r w:rsidR="006933A6">
        <w:t xml:space="preserve"> can provide us with sufficien</w:t>
      </w:r>
      <w:r w:rsidR="00D0706C">
        <w:t>t guarantees that they will do this</w:t>
      </w:r>
      <w:r w:rsidR="006933A6">
        <w:t>.</w:t>
      </w:r>
      <w:bookmarkEnd w:id="155"/>
      <w:bookmarkEnd w:id="156"/>
    </w:p>
    <w:p w14:paraId="5D4D2D55" w14:textId="1A2C8D3A" w:rsidR="007444F8" w:rsidRDefault="006933A6" w:rsidP="00794AA8">
      <w:pPr>
        <w:pStyle w:val="Heading2"/>
        <w:numPr>
          <w:ilvl w:val="1"/>
          <w:numId w:val="29"/>
        </w:numPr>
      </w:pPr>
      <w:bookmarkStart w:id="157" w:name="_Ref499645707"/>
      <w:r>
        <w:t xml:space="preserve">We will only appoint data processors on the basis of a written contract </w:t>
      </w:r>
      <w:r w:rsidR="00D0706C">
        <w:t xml:space="preserve">that will </w:t>
      </w:r>
      <w:r>
        <w:t>require the processor to</w:t>
      </w:r>
      <w:r w:rsidR="003E2BA2">
        <w:t xml:space="preserve"> comply with all relevant legal requirements</w:t>
      </w:r>
      <w:bookmarkEnd w:id="157"/>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p>
    <w:p w14:paraId="315D1CB4" w14:textId="11FFD0F1" w:rsidR="00777964" w:rsidRPr="00030AD1" w:rsidRDefault="00777964" w:rsidP="00794AA8">
      <w:pPr>
        <w:pStyle w:val="Heading1"/>
        <w:numPr>
          <w:ilvl w:val="0"/>
          <w:numId w:val="29"/>
        </w:numPr>
      </w:pPr>
      <w:bookmarkStart w:id="158" w:name="_Ref499633332"/>
      <w:bookmarkStart w:id="159" w:name="_Toc421277319"/>
      <w:r>
        <w:lastRenderedPageBreak/>
        <w:t xml:space="preserve">Transferring personal data outside the European </w:t>
      </w:r>
      <w:bookmarkEnd w:id="158"/>
      <w:r w:rsidR="00D92A40">
        <w:t>Union (EU)</w:t>
      </w:r>
      <w:bookmarkEnd w:id="159"/>
    </w:p>
    <w:p w14:paraId="5C22FB7B" w14:textId="7E570721" w:rsidR="00777964" w:rsidRPr="00C8624E" w:rsidRDefault="00777964" w:rsidP="00794AA8">
      <w:pPr>
        <w:pStyle w:val="Heading2"/>
        <w:numPr>
          <w:ilvl w:val="1"/>
          <w:numId w:val="29"/>
        </w:numPr>
      </w:pPr>
      <w:r>
        <w:t xml:space="preserve">Personal data cannot be transferred (or stored) outside of the European Union unless this is permitted by the GDPR. This includes storage on a “cloud” </w:t>
      </w:r>
      <w:r w:rsidR="00D87C8A">
        <w:t xml:space="preserve">based service </w:t>
      </w:r>
      <w:r>
        <w:t>where the servers are located outside the EU.</w:t>
      </w:r>
    </w:p>
    <w:p w14:paraId="2E3A3D28" w14:textId="1E873343" w:rsidR="00777964" w:rsidRDefault="00777964" w:rsidP="00794AA8">
      <w:pPr>
        <w:pStyle w:val="Heading2"/>
        <w:numPr>
          <w:ilvl w:val="1"/>
          <w:numId w:val="29"/>
        </w:numPr>
        <w:rPr>
          <w:rFonts w:cs="Arial"/>
          <w:szCs w:val="22"/>
        </w:rPr>
      </w:pPr>
      <w:bookmarkStart w:id="160" w:name="_Ref499633593"/>
      <w:r>
        <w:rPr>
          <w:rFonts w:cs="Arial"/>
        </w:rPr>
        <w:t>We will only transfer data outside the EU where it is permitted by one of the conditions for non-EU transfers in the GDPR</w:t>
      </w:r>
      <w:bookmarkEnd w:id="160"/>
    </w:p>
    <w:p w14:paraId="63207160" w14:textId="50DF6242" w:rsidR="00A4395F" w:rsidRPr="00F06EA7" w:rsidRDefault="00A4395F" w:rsidP="00D92A40">
      <w:pPr>
        <w:pStyle w:val="Heading1"/>
        <w:numPr>
          <w:ilvl w:val="0"/>
          <w:numId w:val="0"/>
        </w:numPr>
        <w:ind w:left="862" w:hanging="720"/>
        <w:rPr>
          <w:u w:val="single"/>
        </w:rPr>
      </w:pPr>
      <w:bookmarkStart w:id="161" w:name="_Toc421277320"/>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61"/>
    </w:p>
    <w:p w14:paraId="6EAA4F1B" w14:textId="77777777" w:rsidR="006933A6" w:rsidRDefault="006933A6" w:rsidP="00794AA8">
      <w:pPr>
        <w:pStyle w:val="Heading1"/>
        <w:numPr>
          <w:ilvl w:val="0"/>
          <w:numId w:val="29"/>
        </w:numPr>
      </w:pPr>
      <w:bookmarkStart w:id="162" w:name="_Toc421277321"/>
      <w:r>
        <w:t>Data protection impact assessments</w:t>
      </w:r>
      <w:bookmarkEnd w:id="162"/>
    </w:p>
    <w:p w14:paraId="3F8E7539" w14:textId="1BDA1F45" w:rsidR="007A23A1" w:rsidRDefault="00E6721B" w:rsidP="007A23A1">
      <w:pPr>
        <w:pStyle w:val="Heading2"/>
        <w:numPr>
          <w:ilvl w:val="1"/>
          <w:numId w:val="29"/>
        </w:numPr>
      </w:pPr>
      <w:r>
        <w:t xml:space="preserve">When we are planning to carry out </w:t>
      </w:r>
      <w:r w:rsidR="006933A6">
        <w:t xml:space="preserve">any data </w:t>
      </w:r>
      <w:proofErr w:type="gramStart"/>
      <w:r w:rsidR="006933A6">
        <w:t>processing which</w:t>
      </w:r>
      <w:proofErr w:type="gramEnd"/>
      <w:r w:rsidR="006933A6">
        <w:t xml:space="preserve">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EU</w:t>
      </w:r>
      <w:r w:rsidR="006933A6">
        <w:t xml:space="preserve">. </w:t>
      </w:r>
      <w:r w:rsidR="007A23A1">
        <w:t>Any decision not to conduct a DPIA will be recorded.</w:t>
      </w:r>
    </w:p>
    <w:p w14:paraId="16A9B9D8" w14:textId="3A27970A" w:rsidR="006933A6" w:rsidRDefault="006933A6" w:rsidP="007A23A1">
      <w:pPr>
        <w:pStyle w:val="Heading2"/>
        <w:numPr>
          <w:ilvl w:val="1"/>
          <w:numId w:val="29"/>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4B74C286" w:rsidR="00761315" w:rsidRDefault="006933A6" w:rsidP="00794AA8">
      <w:pPr>
        <w:pStyle w:val="Heading2"/>
        <w:numPr>
          <w:ilvl w:val="1"/>
          <w:numId w:val="29"/>
        </w:numPr>
      </w:pPr>
      <w:r>
        <w:t xml:space="preserve">DPIAs </w:t>
      </w:r>
      <w:r w:rsidR="00761315">
        <w:t xml:space="preserve">will </w:t>
      </w:r>
      <w:r>
        <w:t xml:space="preserve">be conducted in accordance with the ICO’s Code of Practice </w:t>
      </w:r>
      <w:r w:rsidRPr="00051959">
        <w:t>‘</w:t>
      </w:r>
      <w:hyperlink r:id="rId14" w:history="1">
        <w:r w:rsidRPr="00051959">
          <w:rPr>
            <w:rStyle w:val="Hyperlink"/>
          </w:rPr>
          <w:t>Conducting privacy impact assessments</w:t>
        </w:r>
      </w:hyperlink>
      <w:r w:rsidRPr="00051959">
        <w:t>’</w:t>
      </w:r>
      <w:r w:rsidR="00B33CF1">
        <w:t>.</w:t>
      </w:r>
      <w:r>
        <w:t xml:space="preserve"> </w:t>
      </w:r>
    </w:p>
    <w:p w14:paraId="525CDAB1" w14:textId="77777777" w:rsidR="001D3E94" w:rsidRPr="00030AD1" w:rsidRDefault="004B6A62" w:rsidP="00794AA8">
      <w:pPr>
        <w:pStyle w:val="Heading1"/>
        <w:numPr>
          <w:ilvl w:val="0"/>
          <w:numId w:val="29"/>
        </w:numPr>
      </w:pPr>
      <w:bookmarkStart w:id="163" w:name="_Toc499647723"/>
      <w:bookmarkStart w:id="164" w:name="_Toc421277322"/>
      <w:bookmarkEnd w:id="163"/>
      <w:r>
        <w:t>Dealing with data protection breaches</w:t>
      </w:r>
      <w:bookmarkEnd w:id="164"/>
    </w:p>
    <w:p w14:paraId="2C7A3F7F" w14:textId="39349074" w:rsidR="00CA7AFF" w:rsidRDefault="001D3E94" w:rsidP="00A466F9">
      <w:pPr>
        <w:pStyle w:val="Heading2"/>
        <w:numPr>
          <w:ilvl w:val="1"/>
          <w:numId w:val="29"/>
        </w:numPr>
      </w:pPr>
      <w:r w:rsidRPr="00C8624E">
        <w:t xml:space="preserve">Where </w:t>
      </w:r>
      <w:r w:rsidR="00205CA0">
        <w:t>staff or volunteers</w:t>
      </w:r>
      <w:r w:rsidR="00B83D77">
        <w:t>,</w:t>
      </w:r>
      <w:r w:rsidRPr="00C8624E">
        <w:t xml:space="preserve"> or contractors working for us</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754194" w:rsidRPr="00A4395F">
        <w:t xml:space="preserve">Data Protection </w:t>
      </w:r>
      <w:r w:rsidR="008944A7">
        <w:t>Contact</w:t>
      </w:r>
      <w:r w:rsidRPr="00A4395F">
        <w:t>.</w:t>
      </w:r>
      <w:r w:rsidR="00315DEB" w:rsidRPr="00A4395F">
        <w:t xml:space="preserve"> </w:t>
      </w:r>
    </w:p>
    <w:p w14:paraId="41DB0E2D" w14:textId="68E3F6FA" w:rsidR="00C03D6B" w:rsidRDefault="00C03D6B" w:rsidP="00A466F9">
      <w:pPr>
        <w:pStyle w:val="Heading2"/>
        <w:numPr>
          <w:ilvl w:val="1"/>
          <w:numId w:val="29"/>
        </w:numPr>
      </w:pPr>
      <w:r>
        <w:t xml:space="preserve">We </w:t>
      </w:r>
      <w:r w:rsidR="00312706">
        <w:t>will</w:t>
      </w:r>
      <w:r>
        <w:t xml:space="preserve"> keep records of personal data breaches, even if we do not report them to the ICO</w:t>
      </w:r>
      <w:r w:rsidR="00A466F9">
        <w:t>.</w:t>
      </w:r>
      <w:r>
        <w:t xml:space="preserve"> </w:t>
      </w:r>
    </w:p>
    <w:p w14:paraId="0BBBAA25" w14:textId="4900858A" w:rsidR="00A4395F" w:rsidRDefault="00B23571" w:rsidP="00794AA8">
      <w:pPr>
        <w:pStyle w:val="Heading2"/>
        <w:numPr>
          <w:ilvl w:val="1"/>
          <w:numId w:val="29"/>
        </w:numPr>
      </w:pPr>
      <w:r>
        <w:t xml:space="preserve">We </w:t>
      </w:r>
      <w:r w:rsidR="00312706">
        <w:t xml:space="preserve">will </w:t>
      </w:r>
      <w:r>
        <w:t xml:space="preserve">report all data </w:t>
      </w:r>
      <w:proofErr w:type="gramStart"/>
      <w:r>
        <w:t>breaches which</w:t>
      </w:r>
      <w:proofErr w:type="gramEnd"/>
      <w:r>
        <w:t xml:space="preserve">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 xml:space="preserve">someone in the </w:t>
      </w:r>
      <w:r w:rsidR="00FF1D2C">
        <w:t>charity</w:t>
      </w:r>
      <w:r>
        <w:t xml:space="preserve"> become</w:t>
      </w:r>
      <w:r w:rsidR="00312706">
        <w:t>s</w:t>
      </w:r>
      <w:r>
        <w:t xml:space="preserve"> aware of the breach</w:t>
      </w:r>
      <w:r w:rsidR="00A4395F">
        <w:t>.</w:t>
      </w:r>
      <w:r>
        <w:t xml:space="preserve"> </w:t>
      </w:r>
    </w:p>
    <w:p w14:paraId="2DC7CD7F" w14:textId="0C86BDCC" w:rsidR="004C4AA8" w:rsidRDefault="00B23571" w:rsidP="00794AA8">
      <w:pPr>
        <w:pStyle w:val="Heading2"/>
        <w:numPr>
          <w:ilvl w:val="1"/>
          <w:numId w:val="29"/>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E981684" w14:textId="77777777" w:rsidR="003E2BA2" w:rsidRDefault="003E2BA2">
      <w:pPr>
        <w:spacing w:before="0" w:after="0" w:line="240" w:lineRule="auto"/>
        <w:jc w:val="left"/>
        <w:rPr>
          <w:rFonts w:cs="Arial"/>
          <w:b/>
          <w:kern w:val="28"/>
          <w:szCs w:val="22"/>
          <w:u w:val="single"/>
        </w:rPr>
      </w:pPr>
      <w:bookmarkStart w:id="165" w:name="_Toc499647725"/>
      <w:bookmarkStart w:id="166" w:name="_Toc499647726"/>
      <w:bookmarkStart w:id="167" w:name="_Toc499647727"/>
      <w:bookmarkStart w:id="168" w:name="_Toc499647728"/>
      <w:bookmarkStart w:id="169" w:name="_Toc499647729"/>
      <w:bookmarkStart w:id="170" w:name="_Toc499647730"/>
      <w:bookmarkStart w:id="171" w:name="_Toc499647731"/>
      <w:bookmarkStart w:id="172" w:name="_Toc499647732"/>
      <w:bookmarkStart w:id="173" w:name="_Toc499647733"/>
      <w:bookmarkStart w:id="174" w:name="_Toc499647734"/>
      <w:bookmarkStart w:id="175" w:name="_Toc499647738"/>
      <w:bookmarkStart w:id="176" w:name="_Toc499647740"/>
      <w:bookmarkStart w:id="177" w:name="_Toc499647741"/>
      <w:bookmarkStart w:id="178" w:name="_Toc499647742"/>
      <w:bookmarkStart w:id="179" w:name="_Toc499647743"/>
      <w:bookmarkStart w:id="180" w:name="_Toc499647744"/>
      <w:bookmarkStart w:id="181" w:name="_Toc499647745"/>
      <w:bookmarkStart w:id="182" w:name="_Toc499647746"/>
      <w:bookmarkStart w:id="183" w:name="_SCHEDULE_2_–"/>
      <w:bookmarkStart w:id="184" w:name="_Toc501711634"/>
      <w:bookmarkEnd w:id="6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5" w:name="_Toc421277323"/>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4"/>
      <w:bookmarkEnd w:id="185"/>
    </w:p>
    <w:p w14:paraId="25418D83" w14:textId="5D739FB5"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Pr>
          <w:rFonts w:cs="Arial"/>
          <w:szCs w:val="22"/>
        </w:rPr>
        <w:t>GDPR</w:t>
      </w:r>
      <w:r w:rsidRPr="00C8624E">
        <w:rPr>
          <w:rFonts w:cs="Arial"/>
          <w:szCs w:val="22"/>
        </w:rPr>
        <w:t xml:space="preserve">. The </w:t>
      </w:r>
      <w:r>
        <w:rPr>
          <w:rFonts w:cs="Arial"/>
          <w:szCs w:val="22"/>
        </w:rPr>
        <w:t>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8529E29"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 xml:space="preserve">he data controller is responsible for the personal </w:t>
      </w:r>
      <w:proofErr w:type="gramStart"/>
      <w:r w:rsidR="003B3828">
        <w:rPr>
          <w:rFonts w:cs="Arial"/>
          <w:szCs w:val="22"/>
        </w:rPr>
        <w:t>data which is processed</w:t>
      </w:r>
      <w:proofErr w:type="gramEnd"/>
      <w:r w:rsidR="003B3828">
        <w:rPr>
          <w:rFonts w:cs="Arial"/>
          <w:szCs w:val="22"/>
        </w:rPr>
        <w:t xml:space="preserve"> and the way in which it is processed. We are the data cont</w:t>
      </w:r>
      <w:r>
        <w:rPr>
          <w:rFonts w:cs="Arial"/>
          <w:szCs w:val="22"/>
        </w:rPr>
        <w:t xml:space="preserve">roller of </w:t>
      </w:r>
      <w:proofErr w:type="gramStart"/>
      <w:r>
        <w:rPr>
          <w:rFonts w:cs="Arial"/>
          <w:szCs w:val="22"/>
        </w:rPr>
        <w:t>data which</w:t>
      </w:r>
      <w:proofErr w:type="gramEnd"/>
      <w:r>
        <w:rPr>
          <w:rFonts w:cs="Arial"/>
          <w:szCs w:val="22"/>
        </w:rPr>
        <w:t xml:space="preserve"> we process.</w:t>
      </w:r>
    </w:p>
    <w:p w14:paraId="1FD50A61" w14:textId="042347E0" w:rsidR="003B3828" w:rsidRPr="00C8624E"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w:t>
      </w:r>
      <w:proofErr w:type="gramStart"/>
      <w:r w:rsidRPr="00C8624E">
        <w:rPr>
          <w:rFonts w:cs="Arial"/>
          <w:szCs w:val="22"/>
        </w:rPr>
        <w:t>organisation which</w:t>
      </w:r>
      <w:proofErr w:type="gramEnd"/>
      <w:r w:rsidRPr="00C8624E">
        <w:rPr>
          <w:rFonts w:cs="Arial"/>
          <w:szCs w:val="22"/>
        </w:rPr>
        <w:t xml:space="preserve">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794AA8">
      <w:pPr>
        <w:pStyle w:val="Heading3"/>
        <w:numPr>
          <w:ilvl w:val="2"/>
          <w:numId w:val="29"/>
        </w:numPr>
        <w:spacing w:before="60" w:after="60"/>
      </w:pPr>
      <w:proofErr w:type="gramStart"/>
      <w:r>
        <w:t>the</w:t>
      </w:r>
      <w:proofErr w:type="gramEnd"/>
      <w:r>
        <w:t xml:space="preserve"> people we care for and support;</w:t>
      </w:r>
    </w:p>
    <w:p w14:paraId="50E60A36" w14:textId="0AFDCA7D" w:rsidR="00F95BAB" w:rsidRPr="00C8624E" w:rsidRDefault="00F95BAB" w:rsidP="00794AA8">
      <w:pPr>
        <w:pStyle w:val="Heading3"/>
        <w:numPr>
          <w:ilvl w:val="2"/>
          <w:numId w:val="29"/>
        </w:numPr>
        <w:spacing w:before="60" w:after="60"/>
      </w:pPr>
      <w:proofErr w:type="gramStart"/>
      <w:r>
        <w:t>o</w:t>
      </w:r>
      <w:r w:rsidRPr="00C8624E">
        <w:t>ur</w:t>
      </w:r>
      <w:proofErr w:type="gramEnd"/>
      <w:r w:rsidRPr="00C8624E">
        <w:t xml:space="preserve"> employees</w:t>
      </w:r>
      <w:r w:rsidR="00DE43BD">
        <w:t xml:space="preserve"> (and former employees)</w:t>
      </w:r>
      <w:r w:rsidRPr="00C8624E">
        <w:t>;</w:t>
      </w:r>
    </w:p>
    <w:p w14:paraId="2422ABF6" w14:textId="77777777" w:rsidR="00F95BAB" w:rsidRPr="00C8624E" w:rsidRDefault="00F95BAB" w:rsidP="00794AA8">
      <w:pPr>
        <w:pStyle w:val="Heading3"/>
        <w:numPr>
          <w:ilvl w:val="2"/>
          <w:numId w:val="29"/>
        </w:numPr>
        <w:spacing w:before="60" w:after="60"/>
      </w:pPr>
      <w:proofErr w:type="gramStart"/>
      <w:r>
        <w:t>c</w:t>
      </w:r>
      <w:r w:rsidRPr="00C8624E">
        <w:t>onsultants</w:t>
      </w:r>
      <w:proofErr w:type="gramEnd"/>
      <w:r w:rsidRPr="00C8624E">
        <w:t>/</w:t>
      </w:r>
      <w:r>
        <w:t>i</w:t>
      </w:r>
      <w:r w:rsidRPr="00C8624E">
        <w:t>ndividuals who are our contractors or employees working for them;</w:t>
      </w:r>
    </w:p>
    <w:p w14:paraId="612BB6E2" w14:textId="77777777" w:rsidR="00F95BAB" w:rsidRPr="00C8624E" w:rsidRDefault="00F95BAB" w:rsidP="00794AA8">
      <w:pPr>
        <w:pStyle w:val="Heading3"/>
        <w:numPr>
          <w:ilvl w:val="2"/>
          <w:numId w:val="29"/>
        </w:numPr>
        <w:spacing w:before="60" w:after="60"/>
      </w:pPr>
      <w:proofErr w:type="gramStart"/>
      <w:r>
        <w:t>v</w:t>
      </w:r>
      <w:r w:rsidRPr="00C8624E">
        <w:t>olunteers</w:t>
      </w:r>
      <w:proofErr w:type="gramEnd"/>
      <w:r w:rsidRPr="00C8624E">
        <w:t>;</w:t>
      </w:r>
    </w:p>
    <w:p w14:paraId="49F6F731" w14:textId="77777777" w:rsidR="00F95BAB" w:rsidRPr="00C8624E" w:rsidRDefault="00F95BAB" w:rsidP="00794AA8">
      <w:pPr>
        <w:pStyle w:val="Heading3"/>
        <w:numPr>
          <w:ilvl w:val="2"/>
          <w:numId w:val="29"/>
        </w:numPr>
        <w:spacing w:before="60" w:after="60"/>
      </w:pPr>
      <w:proofErr w:type="gramStart"/>
      <w:r>
        <w:t>t</w:t>
      </w:r>
      <w:r w:rsidRPr="00C8624E">
        <w:t>rustees</w:t>
      </w:r>
      <w:proofErr w:type="gramEnd"/>
      <w:r w:rsidRPr="00C8624E">
        <w:t>;</w:t>
      </w:r>
    </w:p>
    <w:p w14:paraId="2275DDE2" w14:textId="77777777" w:rsidR="00F95BAB" w:rsidRPr="00C8624E" w:rsidRDefault="00F95BAB" w:rsidP="00794AA8">
      <w:pPr>
        <w:pStyle w:val="Heading3"/>
        <w:numPr>
          <w:ilvl w:val="2"/>
          <w:numId w:val="29"/>
        </w:numPr>
        <w:spacing w:before="60" w:after="60"/>
      </w:pPr>
      <w:proofErr w:type="gramStart"/>
      <w:r>
        <w:t>c</w:t>
      </w:r>
      <w:r w:rsidRPr="00C8624E">
        <w:t>omplainants</w:t>
      </w:r>
      <w:proofErr w:type="gramEnd"/>
      <w:r w:rsidRPr="00C8624E">
        <w:t>;</w:t>
      </w:r>
    </w:p>
    <w:p w14:paraId="1ECDDABB" w14:textId="77777777" w:rsidR="00F95BAB" w:rsidRPr="00C8624E" w:rsidRDefault="00F95BAB" w:rsidP="00794AA8">
      <w:pPr>
        <w:pStyle w:val="Heading3"/>
        <w:numPr>
          <w:ilvl w:val="2"/>
          <w:numId w:val="29"/>
        </w:numPr>
        <w:spacing w:before="60" w:after="60"/>
      </w:pPr>
      <w:proofErr w:type="gramStart"/>
      <w:r>
        <w:t>s</w:t>
      </w:r>
      <w:r w:rsidRPr="00C8624E">
        <w:t>upporters</w:t>
      </w:r>
      <w:proofErr w:type="gramEnd"/>
      <w:r w:rsidRPr="00C8624E">
        <w:t>;</w:t>
      </w:r>
    </w:p>
    <w:p w14:paraId="5A4CF12D" w14:textId="77777777" w:rsidR="00F95BAB" w:rsidRDefault="00F95BAB" w:rsidP="00794AA8">
      <w:pPr>
        <w:pStyle w:val="Heading3"/>
        <w:numPr>
          <w:ilvl w:val="2"/>
          <w:numId w:val="29"/>
        </w:numPr>
        <w:spacing w:before="60" w:after="60"/>
      </w:pPr>
      <w:proofErr w:type="gramStart"/>
      <w:r>
        <w:t>e</w:t>
      </w:r>
      <w:r w:rsidRPr="00C8624E">
        <w:t>nquirers</w:t>
      </w:r>
      <w:proofErr w:type="gramEnd"/>
      <w:r w:rsidRPr="00C8624E">
        <w:t>;</w:t>
      </w:r>
    </w:p>
    <w:p w14:paraId="1293C693" w14:textId="4A35BF6E" w:rsidR="00DE43BD" w:rsidRPr="00C8624E" w:rsidRDefault="00DE43BD" w:rsidP="00794AA8">
      <w:pPr>
        <w:pStyle w:val="Heading3"/>
        <w:numPr>
          <w:ilvl w:val="2"/>
          <w:numId w:val="29"/>
        </w:numPr>
        <w:spacing w:before="60" w:after="60"/>
      </w:pPr>
      <w:proofErr w:type="gramStart"/>
      <w:r>
        <w:t>friends</w:t>
      </w:r>
      <w:proofErr w:type="gramEnd"/>
      <w:r>
        <w:t xml:space="preserve"> and family;</w:t>
      </w:r>
    </w:p>
    <w:p w14:paraId="54CD42DB" w14:textId="77777777" w:rsidR="00F95BAB" w:rsidRPr="00C8624E" w:rsidRDefault="00F95BAB" w:rsidP="00794AA8">
      <w:pPr>
        <w:pStyle w:val="Heading3"/>
        <w:numPr>
          <w:ilvl w:val="2"/>
          <w:numId w:val="29"/>
        </w:numPr>
        <w:spacing w:before="60" w:after="60"/>
      </w:pPr>
      <w:proofErr w:type="gramStart"/>
      <w:r>
        <w:t>a</w:t>
      </w:r>
      <w:r w:rsidRPr="00C8624E">
        <w:t>dvisers</w:t>
      </w:r>
      <w:proofErr w:type="gramEnd"/>
      <w:r w:rsidRPr="00C8624E">
        <w:t xml:space="preserve">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w:t>
      </w:r>
      <w:proofErr w:type="gramStart"/>
      <w:r>
        <w:t>Office which</w:t>
      </w:r>
      <w:proofErr w:type="gramEnd"/>
      <w:r>
        <w:t xml:space="preserve">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lastRenderedPageBreak/>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w:t>
      </w:r>
      <w:proofErr w:type="gramStart"/>
      <w:r>
        <w:rPr>
          <w:rFonts w:cs="Arial"/>
          <w:szCs w:val="22"/>
        </w:rPr>
        <w:t>subjects which explains how we process their data</w:t>
      </w:r>
      <w:proofErr w:type="gramEnd"/>
      <w:r>
        <w:rPr>
          <w:rFonts w:cs="Arial"/>
          <w:szCs w:val="22"/>
        </w:rPr>
        <w:t xml:space="preserve">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15581F0"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GDPR) </w:t>
      </w:r>
      <w:r w:rsidR="00F95BAB" w:rsidRPr="00C8624E">
        <w:rPr>
          <w:rFonts w:cs="Arial"/>
          <w:szCs w:val="22"/>
        </w:rPr>
        <w:t>includes information about a person’s:</w:t>
      </w:r>
    </w:p>
    <w:p w14:paraId="47D5FF6C" w14:textId="36A648B3" w:rsidR="00F95BAB" w:rsidRPr="00C8624E" w:rsidRDefault="00F95BAB" w:rsidP="00794AA8">
      <w:pPr>
        <w:pStyle w:val="Heading3"/>
        <w:numPr>
          <w:ilvl w:val="2"/>
          <w:numId w:val="29"/>
        </w:numPr>
      </w:pPr>
      <w:r w:rsidRPr="00C8624E">
        <w:t>Racial or ethnic origin;</w:t>
      </w:r>
    </w:p>
    <w:p w14:paraId="77B4B344" w14:textId="77777777" w:rsidR="00F95BAB" w:rsidRPr="00C8624E" w:rsidRDefault="00F95BAB" w:rsidP="00794AA8">
      <w:pPr>
        <w:pStyle w:val="Heading3"/>
        <w:numPr>
          <w:ilvl w:val="2"/>
          <w:numId w:val="29"/>
        </w:numPr>
      </w:pPr>
      <w:r w:rsidRPr="00C8624E">
        <w:t xml:space="preserve">Political opinions; </w:t>
      </w:r>
    </w:p>
    <w:p w14:paraId="6A4E259F" w14:textId="77777777" w:rsidR="00F95BAB" w:rsidRPr="00C8624E" w:rsidRDefault="00F95BAB" w:rsidP="00794AA8">
      <w:pPr>
        <w:pStyle w:val="Heading3"/>
        <w:numPr>
          <w:ilvl w:val="2"/>
          <w:numId w:val="29"/>
        </w:numPr>
      </w:pPr>
      <w:r w:rsidRPr="00C8624E">
        <w:t>Religious or similar</w:t>
      </w:r>
      <w:r>
        <w:t xml:space="preserve"> (e.g. philosophical)</w:t>
      </w:r>
      <w:r w:rsidRPr="00C8624E">
        <w:t xml:space="preserve"> beliefs;</w:t>
      </w:r>
    </w:p>
    <w:p w14:paraId="53063095" w14:textId="77777777" w:rsidR="00F95BAB" w:rsidRPr="00C8624E" w:rsidRDefault="00F95BAB" w:rsidP="00794AA8">
      <w:pPr>
        <w:pStyle w:val="Heading3"/>
        <w:numPr>
          <w:ilvl w:val="2"/>
          <w:numId w:val="29"/>
        </w:numPr>
      </w:pPr>
      <w:r w:rsidRPr="00C8624E">
        <w:t>Trade union membership;</w:t>
      </w:r>
    </w:p>
    <w:p w14:paraId="2F82AC95" w14:textId="77777777" w:rsidR="00F95BAB" w:rsidRDefault="00F95BAB" w:rsidP="00794AA8">
      <w:pPr>
        <w:pStyle w:val="Heading3"/>
        <w:numPr>
          <w:ilvl w:val="2"/>
          <w:numId w:val="29"/>
        </w:numPr>
      </w:pPr>
      <w:r>
        <w:t>Health (including physical and mental health, and the provision of health care services)</w:t>
      </w:r>
      <w:r w:rsidRPr="00C8624E">
        <w:t>;</w:t>
      </w:r>
    </w:p>
    <w:p w14:paraId="43238B8C" w14:textId="77777777" w:rsidR="00F95BAB" w:rsidRDefault="00F95BAB" w:rsidP="00794AA8">
      <w:pPr>
        <w:pStyle w:val="Heading3"/>
        <w:numPr>
          <w:ilvl w:val="2"/>
          <w:numId w:val="29"/>
        </w:numPr>
      </w:pPr>
      <w:r>
        <w:t>Genetic data;</w:t>
      </w:r>
    </w:p>
    <w:p w14:paraId="45AD5546" w14:textId="77777777" w:rsidR="00F95BAB" w:rsidRPr="00C8624E" w:rsidRDefault="00F95BAB" w:rsidP="00794AA8">
      <w:pPr>
        <w:pStyle w:val="Heading3"/>
        <w:numPr>
          <w:ilvl w:val="2"/>
          <w:numId w:val="29"/>
        </w:numPr>
      </w:pPr>
      <w:r>
        <w:t>Biometric data;</w:t>
      </w:r>
    </w:p>
    <w:p w14:paraId="25AD28FC" w14:textId="77777777" w:rsidR="00F95BAB" w:rsidRDefault="00F95BAB" w:rsidP="00794AA8">
      <w:pPr>
        <w:pStyle w:val="Heading3"/>
        <w:numPr>
          <w:ilvl w:val="2"/>
          <w:numId w:val="29"/>
        </w:numPr>
      </w:pPr>
      <w:proofErr w:type="gramStart"/>
      <w:r w:rsidRPr="00C8624E">
        <w:t>Sexual life</w:t>
      </w:r>
      <w:r>
        <w:t xml:space="preserve"> and sexual orientation.</w:t>
      </w:r>
      <w:proofErr w:type="gramEnd"/>
      <w:r w:rsidRPr="00C8624E">
        <w:t xml:space="preserve"> </w:t>
      </w:r>
    </w:p>
    <w:p w14:paraId="1EDE8E91" w14:textId="4DD6AF7B" w:rsidR="00A466F9" w:rsidRDefault="00A466F9">
      <w:pPr>
        <w:spacing w:before="0" w:after="0" w:line="240" w:lineRule="auto"/>
        <w:jc w:val="left"/>
        <w:rPr>
          <w:rFonts w:cs="Arial"/>
          <w:b/>
          <w:kern w:val="28"/>
          <w:szCs w:val="22"/>
          <w:u w:val="single"/>
        </w:rPr>
      </w:pPr>
    </w:p>
    <w:sectPr w:rsidR="00A466F9" w:rsidSect="00E73E59">
      <w:footerReference w:type="default" r:id="rId15"/>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ACD68" w14:textId="77777777" w:rsidR="007C52BA" w:rsidRDefault="007C52BA">
      <w:r>
        <w:separator/>
      </w:r>
    </w:p>
  </w:endnote>
  <w:endnote w:type="continuationSeparator" w:id="0">
    <w:p w14:paraId="64E36A00" w14:textId="77777777" w:rsidR="007C52BA" w:rsidRDefault="007C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4002EFF" w:usb1="C000E47F" w:usb2="00000009" w:usb3="00000000" w:csb0="000001F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94618"/>
      <w:docPartObj>
        <w:docPartGallery w:val="Page Numbers (Bottom of Page)"/>
        <w:docPartUnique/>
      </w:docPartObj>
    </w:sdtPr>
    <w:sdtEndPr>
      <w:rPr>
        <w:noProof/>
      </w:rPr>
    </w:sdtEndPr>
    <w:sdtContent>
      <w:p w14:paraId="0495D153" w14:textId="4997AAD1" w:rsidR="00A61DE3" w:rsidRDefault="007C52BA" w:rsidP="00E73E59">
        <w:pPr>
          <w:pStyle w:val="Footer"/>
          <w:spacing w:after="0" w:line="240" w:lineRule="auto"/>
          <w:jc w:val="right"/>
          <w:rPr>
            <w:noProof/>
          </w:rPr>
        </w:pPr>
        <w:r>
          <w:fldChar w:fldCharType="begin"/>
        </w:r>
        <w:r>
          <w:instrText xml:space="preserve"> PAGE   \* MERGEFORMAT </w:instrText>
        </w:r>
        <w:r>
          <w:fldChar w:fldCharType="separate"/>
        </w:r>
        <w:r w:rsidR="00320E1A">
          <w:rPr>
            <w:noProof/>
          </w:rPr>
          <w:t>13</w:t>
        </w:r>
        <w:r>
          <w:rPr>
            <w:noProof/>
          </w:rPr>
          <w:fldChar w:fldCharType="end"/>
        </w:r>
      </w:p>
      <w:p w14:paraId="0618AC91" w14:textId="028C1102" w:rsidR="007C52BA" w:rsidRDefault="00320E1A" w:rsidP="00E73E59">
        <w:pPr>
          <w:pStyle w:val="Footer"/>
          <w:spacing w:after="0" w:line="240" w:lineRule="auto"/>
          <w:jc w:val="right"/>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37F56" w14:textId="77777777" w:rsidR="007C52BA" w:rsidRDefault="007C52BA">
      <w:r>
        <w:separator/>
      </w:r>
    </w:p>
  </w:footnote>
  <w:footnote w:type="continuationSeparator" w:id="0">
    <w:p w14:paraId="3576F9F6" w14:textId="77777777" w:rsidR="007C52BA" w:rsidRDefault="007C52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723961"/>
    <w:multiLevelType w:val="hybridMultilevel"/>
    <w:tmpl w:val="FB44EF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262DDE"/>
    <w:multiLevelType w:val="hybridMultilevel"/>
    <w:tmpl w:val="FC18C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
    <w:nsid w:val="16322D43"/>
    <w:multiLevelType w:val="multilevel"/>
    <w:tmpl w:val="20C224E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28410107"/>
    <w:multiLevelType w:val="multilevel"/>
    <w:tmpl w:val="3A62153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2EB1F87"/>
    <w:multiLevelType w:val="multilevel"/>
    <w:tmpl w:val="4DA2A404"/>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5353E1"/>
    <w:multiLevelType w:val="hybridMultilevel"/>
    <w:tmpl w:val="2FA4F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5">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6">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4071FCD"/>
    <w:multiLevelType w:val="hybridMultilevel"/>
    <w:tmpl w:val="636E0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8959C0"/>
    <w:multiLevelType w:val="hybridMultilevel"/>
    <w:tmpl w:val="D07A50C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8C465B"/>
    <w:multiLevelType w:val="multilevel"/>
    <w:tmpl w:val="C8EECA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9"/>
  </w:num>
  <w:num w:numId="4">
    <w:abstractNumId w:val="21"/>
  </w:num>
  <w:num w:numId="5">
    <w:abstractNumId w:val="17"/>
  </w:num>
  <w:num w:numId="6">
    <w:abstractNumId w:val="2"/>
  </w:num>
  <w:num w:numId="7">
    <w:abstractNumId w:val="24"/>
  </w:num>
  <w:num w:numId="8">
    <w:abstractNumId w:val="10"/>
  </w:num>
  <w:num w:numId="9">
    <w:abstractNumId w:val="23"/>
  </w:num>
  <w:num w:numId="10">
    <w:abstractNumId w:val="9"/>
  </w:num>
  <w:num w:numId="11">
    <w:abstractNumId w:val="18"/>
  </w:num>
  <w:num w:numId="12">
    <w:abstractNumId w:val="14"/>
  </w:num>
  <w:num w:numId="13">
    <w:abstractNumId w:val="33"/>
  </w:num>
  <w:num w:numId="14">
    <w:abstractNumId w:val="16"/>
  </w:num>
  <w:num w:numId="15">
    <w:abstractNumId w:val="0"/>
  </w:num>
  <w:num w:numId="16">
    <w:abstractNumId w:val="30"/>
  </w:num>
  <w:num w:numId="17">
    <w:abstractNumId w:val="26"/>
  </w:num>
  <w:num w:numId="18">
    <w:abstractNumId w:val="8"/>
  </w:num>
  <w:num w:numId="19">
    <w:abstractNumId w:val="25"/>
  </w:num>
  <w:num w:numId="20">
    <w:abstractNumId w:val="22"/>
  </w:num>
  <w:num w:numId="21">
    <w:abstractNumId w:val="1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27"/>
  </w:num>
  <w:num w:numId="28">
    <w:abstractNumId w:val="5"/>
  </w:num>
  <w:num w:numId="29">
    <w:abstractNumId w:val="20"/>
  </w:num>
  <w:num w:numId="30">
    <w:abstractNumId w:val="12"/>
  </w:num>
  <w:num w:numId="31">
    <w:abstractNumId w:val="6"/>
  </w:num>
  <w:num w:numId="32">
    <w:abstractNumId w:val="15"/>
  </w:num>
  <w:num w:numId="33">
    <w:abstractNumId w:val="31"/>
  </w:num>
  <w:num w:numId="34">
    <w:abstractNumId w:val="19"/>
  </w:num>
  <w:num w:numId="35">
    <w:abstractNumId w:val="1"/>
  </w:num>
  <w:num w:numId="36">
    <w:abstractNumId w:val="28"/>
  </w:num>
  <w:num w:numId="37">
    <w:abstractNumId w:val="7"/>
  </w:num>
  <w:num w:numId="3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7D43"/>
    <w:rsid w:val="0002241F"/>
    <w:rsid w:val="000255E7"/>
    <w:rsid w:val="000300C2"/>
    <w:rsid w:val="00030AD1"/>
    <w:rsid w:val="00035E06"/>
    <w:rsid w:val="0003761A"/>
    <w:rsid w:val="00037899"/>
    <w:rsid w:val="00040451"/>
    <w:rsid w:val="00042B02"/>
    <w:rsid w:val="00042D7E"/>
    <w:rsid w:val="00051959"/>
    <w:rsid w:val="000538F2"/>
    <w:rsid w:val="00053A4E"/>
    <w:rsid w:val="000543F0"/>
    <w:rsid w:val="000565CC"/>
    <w:rsid w:val="00057718"/>
    <w:rsid w:val="00057989"/>
    <w:rsid w:val="000607B4"/>
    <w:rsid w:val="0006151F"/>
    <w:rsid w:val="00061E3B"/>
    <w:rsid w:val="000723D6"/>
    <w:rsid w:val="00072DDA"/>
    <w:rsid w:val="000766AF"/>
    <w:rsid w:val="00077823"/>
    <w:rsid w:val="000831E2"/>
    <w:rsid w:val="00084EE8"/>
    <w:rsid w:val="00084F1D"/>
    <w:rsid w:val="0008780C"/>
    <w:rsid w:val="00091613"/>
    <w:rsid w:val="00091CF5"/>
    <w:rsid w:val="00093ADA"/>
    <w:rsid w:val="00096902"/>
    <w:rsid w:val="000A2CCF"/>
    <w:rsid w:val="000A3A6E"/>
    <w:rsid w:val="000B09A0"/>
    <w:rsid w:val="000B0FE3"/>
    <w:rsid w:val="000B5B2C"/>
    <w:rsid w:val="000B5E03"/>
    <w:rsid w:val="000C0FEE"/>
    <w:rsid w:val="000C2999"/>
    <w:rsid w:val="000C4BC8"/>
    <w:rsid w:val="000C55C5"/>
    <w:rsid w:val="000C7019"/>
    <w:rsid w:val="000D1E49"/>
    <w:rsid w:val="000D3192"/>
    <w:rsid w:val="000D6F66"/>
    <w:rsid w:val="000E430E"/>
    <w:rsid w:val="000E467C"/>
    <w:rsid w:val="000E4CC0"/>
    <w:rsid w:val="000E665A"/>
    <w:rsid w:val="000E6713"/>
    <w:rsid w:val="000F1BB4"/>
    <w:rsid w:val="000F1CBA"/>
    <w:rsid w:val="000F21E6"/>
    <w:rsid w:val="000F7A23"/>
    <w:rsid w:val="00101B40"/>
    <w:rsid w:val="00105945"/>
    <w:rsid w:val="00110286"/>
    <w:rsid w:val="00116EB7"/>
    <w:rsid w:val="0011768D"/>
    <w:rsid w:val="00121304"/>
    <w:rsid w:val="00122DC0"/>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3E94"/>
    <w:rsid w:val="001D4D0B"/>
    <w:rsid w:val="001D72B9"/>
    <w:rsid w:val="001D7BB4"/>
    <w:rsid w:val="001E4143"/>
    <w:rsid w:val="001E5F07"/>
    <w:rsid w:val="001E7EF6"/>
    <w:rsid w:val="001F28EF"/>
    <w:rsid w:val="001F3F13"/>
    <w:rsid w:val="001F60A9"/>
    <w:rsid w:val="001F73CD"/>
    <w:rsid w:val="002023A0"/>
    <w:rsid w:val="002034EF"/>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876"/>
    <w:rsid w:val="00276215"/>
    <w:rsid w:val="00277881"/>
    <w:rsid w:val="00282F17"/>
    <w:rsid w:val="00283085"/>
    <w:rsid w:val="00286B86"/>
    <w:rsid w:val="00294CD5"/>
    <w:rsid w:val="00296CD9"/>
    <w:rsid w:val="002A2B20"/>
    <w:rsid w:val="002A49EA"/>
    <w:rsid w:val="002B2808"/>
    <w:rsid w:val="002B2819"/>
    <w:rsid w:val="002B3378"/>
    <w:rsid w:val="002B34CB"/>
    <w:rsid w:val="002B3603"/>
    <w:rsid w:val="002B4F5E"/>
    <w:rsid w:val="002B680F"/>
    <w:rsid w:val="002C44B8"/>
    <w:rsid w:val="002D044E"/>
    <w:rsid w:val="002D0800"/>
    <w:rsid w:val="002D5514"/>
    <w:rsid w:val="002E0BE0"/>
    <w:rsid w:val="002E2AE4"/>
    <w:rsid w:val="002E556B"/>
    <w:rsid w:val="002E7349"/>
    <w:rsid w:val="002F1BBC"/>
    <w:rsid w:val="002F3AD3"/>
    <w:rsid w:val="00302175"/>
    <w:rsid w:val="00304101"/>
    <w:rsid w:val="00304490"/>
    <w:rsid w:val="00304496"/>
    <w:rsid w:val="00312706"/>
    <w:rsid w:val="00312794"/>
    <w:rsid w:val="00312CE6"/>
    <w:rsid w:val="00315A68"/>
    <w:rsid w:val="00315BC2"/>
    <w:rsid w:val="00315DEB"/>
    <w:rsid w:val="0031664F"/>
    <w:rsid w:val="00320E1A"/>
    <w:rsid w:val="003241E3"/>
    <w:rsid w:val="00326FF4"/>
    <w:rsid w:val="0032777E"/>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8723A"/>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3140"/>
    <w:rsid w:val="003E1DC2"/>
    <w:rsid w:val="003E2BA2"/>
    <w:rsid w:val="003F47A2"/>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1CC0"/>
    <w:rsid w:val="00493CD9"/>
    <w:rsid w:val="00493D75"/>
    <w:rsid w:val="004945AF"/>
    <w:rsid w:val="004A5437"/>
    <w:rsid w:val="004B2665"/>
    <w:rsid w:val="004B28AA"/>
    <w:rsid w:val="004B2DEA"/>
    <w:rsid w:val="004B35FA"/>
    <w:rsid w:val="004B5C40"/>
    <w:rsid w:val="004B6A62"/>
    <w:rsid w:val="004C2132"/>
    <w:rsid w:val="004C4AA8"/>
    <w:rsid w:val="004C50D3"/>
    <w:rsid w:val="004C6E9C"/>
    <w:rsid w:val="004C7DDA"/>
    <w:rsid w:val="004D0BA0"/>
    <w:rsid w:val="004D2D19"/>
    <w:rsid w:val="004D394A"/>
    <w:rsid w:val="004D4B23"/>
    <w:rsid w:val="004D5A0D"/>
    <w:rsid w:val="004D68AB"/>
    <w:rsid w:val="004E7F44"/>
    <w:rsid w:val="004F2BED"/>
    <w:rsid w:val="004F33D5"/>
    <w:rsid w:val="004F3410"/>
    <w:rsid w:val="004F5705"/>
    <w:rsid w:val="00502E04"/>
    <w:rsid w:val="0050308C"/>
    <w:rsid w:val="0050784C"/>
    <w:rsid w:val="0051129B"/>
    <w:rsid w:val="0051308A"/>
    <w:rsid w:val="0051392C"/>
    <w:rsid w:val="00513EEC"/>
    <w:rsid w:val="005149AF"/>
    <w:rsid w:val="00514AA4"/>
    <w:rsid w:val="005178AD"/>
    <w:rsid w:val="0052021C"/>
    <w:rsid w:val="0052061E"/>
    <w:rsid w:val="00523014"/>
    <w:rsid w:val="00525B65"/>
    <w:rsid w:val="00530963"/>
    <w:rsid w:val="005378EE"/>
    <w:rsid w:val="00537A9F"/>
    <w:rsid w:val="00541317"/>
    <w:rsid w:val="005460E2"/>
    <w:rsid w:val="0054610C"/>
    <w:rsid w:val="005479D6"/>
    <w:rsid w:val="00550801"/>
    <w:rsid w:val="00551CA0"/>
    <w:rsid w:val="005535B4"/>
    <w:rsid w:val="005548F2"/>
    <w:rsid w:val="00556229"/>
    <w:rsid w:val="005603AE"/>
    <w:rsid w:val="0056108F"/>
    <w:rsid w:val="005679B4"/>
    <w:rsid w:val="00567BE1"/>
    <w:rsid w:val="00573714"/>
    <w:rsid w:val="00577F7E"/>
    <w:rsid w:val="00582350"/>
    <w:rsid w:val="00583714"/>
    <w:rsid w:val="00584A71"/>
    <w:rsid w:val="00597B67"/>
    <w:rsid w:val="005A418A"/>
    <w:rsid w:val="005A6F5E"/>
    <w:rsid w:val="005B5354"/>
    <w:rsid w:val="005B630B"/>
    <w:rsid w:val="005B684A"/>
    <w:rsid w:val="005C4179"/>
    <w:rsid w:val="005C6960"/>
    <w:rsid w:val="005D2680"/>
    <w:rsid w:val="005D49C7"/>
    <w:rsid w:val="005D6A9F"/>
    <w:rsid w:val="005D6B00"/>
    <w:rsid w:val="005E2AB4"/>
    <w:rsid w:val="005E3059"/>
    <w:rsid w:val="005E3712"/>
    <w:rsid w:val="005E455E"/>
    <w:rsid w:val="005E570F"/>
    <w:rsid w:val="005F14DF"/>
    <w:rsid w:val="005F14E7"/>
    <w:rsid w:val="005F1D0C"/>
    <w:rsid w:val="005F2BED"/>
    <w:rsid w:val="005F5FFB"/>
    <w:rsid w:val="00600A4D"/>
    <w:rsid w:val="00602019"/>
    <w:rsid w:val="0060461B"/>
    <w:rsid w:val="0061078C"/>
    <w:rsid w:val="006144E3"/>
    <w:rsid w:val="00614D8F"/>
    <w:rsid w:val="00616FD7"/>
    <w:rsid w:val="0061748E"/>
    <w:rsid w:val="00617B06"/>
    <w:rsid w:val="00622F89"/>
    <w:rsid w:val="00623C1B"/>
    <w:rsid w:val="00625EDA"/>
    <w:rsid w:val="006273C7"/>
    <w:rsid w:val="00630DD1"/>
    <w:rsid w:val="006322DE"/>
    <w:rsid w:val="00632DBA"/>
    <w:rsid w:val="00635544"/>
    <w:rsid w:val="00636E5C"/>
    <w:rsid w:val="00641B5F"/>
    <w:rsid w:val="00641CBF"/>
    <w:rsid w:val="00642060"/>
    <w:rsid w:val="0064551F"/>
    <w:rsid w:val="00647CAE"/>
    <w:rsid w:val="006519B9"/>
    <w:rsid w:val="006552C0"/>
    <w:rsid w:val="00655F4E"/>
    <w:rsid w:val="0066316A"/>
    <w:rsid w:val="00665045"/>
    <w:rsid w:val="00666309"/>
    <w:rsid w:val="00666E8C"/>
    <w:rsid w:val="00673786"/>
    <w:rsid w:val="00674988"/>
    <w:rsid w:val="006769F8"/>
    <w:rsid w:val="00684229"/>
    <w:rsid w:val="00685F2B"/>
    <w:rsid w:val="0069136E"/>
    <w:rsid w:val="006933A6"/>
    <w:rsid w:val="00694207"/>
    <w:rsid w:val="006A0102"/>
    <w:rsid w:val="006A0B0F"/>
    <w:rsid w:val="006A3829"/>
    <w:rsid w:val="006B0F47"/>
    <w:rsid w:val="006B1262"/>
    <w:rsid w:val="006B181B"/>
    <w:rsid w:val="006B2892"/>
    <w:rsid w:val="006B431C"/>
    <w:rsid w:val="006B4AE7"/>
    <w:rsid w:val="006C16BB"/>
    <w:rsid w:val="006C33BB"/>
    <w:rsid w:val="006C5973"/>
    <w:rsid w:val="006C5E5A"/>
    <w:rsid w:val="006C6DF1"/>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44F8"/>
    <w:rsid w:val="00752734"/>
    <w:rsid w:val="00754194"/>
    <w:rsid w:val="00761315"/>
    <w:rsid w:val="007618AC"/>
    <w:rsid w:val="00764033"/>
    <w:rsid w:val="007669E2"/>
    <w:rsid w:val="00772DCF"/>
    <w:rsid w:val="00777964"/>
    <w:rsid w:val="00781E04"/>
    <w:rsid w:val="00782CF9"/>
    <w:rsid w:val="0079497F"/>
    <w:rsid w:val="00794AA8"/>
    <w:rsid w:val="00797070"/>
    <w:rsid w:val="007A021C"/>
    <w:rsid w:val="007A1FD6"/>
    <w:rsid w:val="007A23A1"/>
    <w:rsid w:val="007A23BA"/>
    <w:rsid w:val="007A577A"/>
    <w:rsid w:val="007A66A1"/>
    <w:rsid w:val="007B0B77"/>
    <w:rsid w:val="007B0CEE"/>
    <w:rsid w:val="007B0FD2"/>
    <w:rsid w:val="007B12E6"/>
    <w:rsid w:val="007B6771"/>
    <w:rsid w:val="007B76C3"/>
    <w:rsid w:val="007B7EF6"/>
    <w:rsid w:val="007C19D1"/>
    <w:rsid w:val="007C287A"/>
    <w:rsid w:val="007C38B8"/>
    <w:rsid w:val="007C4F71"/>
    <w:rsid w:val="007C50FC"/>
    <w:rsid w:val="007C52BA"/>
    <w:rsid w:val="007C55C6"/>
    <w:rsid w:val="007C6C9D"/>
    <w:rsid w:val="007D1290"/>
    <w:rsid w:val="007D6A13"/>
    <w:rsid w:val="007E6E57"/>
    <w:rsid w:val="007F7AD8"/>
    <w:rsid w:val="00803012"/>
    <w:rsid w:val="008076A3"/>
    <w:rsid w:val="00807B30"/>
    <w:rsid w:val="00812C0A"/>
    <w:rsid w:val="00817D8C"/>
    <w:rsid w:val="00821D82"/>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44A7"/>
    <w:rsid w:val="00897070"/>
    <w:rsid w:val="00897AD4"/>
    <w:rsid w:val="008A5DC5"/>
    <w:rsid w:val="008B5046"/>
    <w:rsid w:val="008B680A"/>
    <w:rsid w:val="008C1F42"/>
    <w:rsid w:val="008C57A1"/>
    <w:rsid w:val="008C6870"/>
    <w:rsid w:val="008D074F"/>
    <w:rsid w:val="008D30D3"/>
    <w:rsid w:val="008D46BB"/>
    <w:rsid w:val="008E1CC6"/>
    <w:rsid w:val="008E6128"/>
    <w:rsid w:val="008F305B"/>
    <w:rsid w:val="008F5A5C"/>
    <w:rsid w:val="008F7C5E"/>
    <w:rsid w:val="009012C5"/>
    <w:rsid w:val="00903804"/>
    <w:rsid w:val="0090427F"/>
    <w:rsid w:val="00904902"/>
    <w:rsid w:val="00905BB5"/>
    <w:rsid w:val="00910BAB"/>
    <w:rsid w:val="00912253"/>
    <w:rsid w:val="00914B45"/>
    <w:rsid w:val="0091764C"/>
    <w:rsid w:val="009179C2"/>
    <w:rsid w:val="009208FA"/>
    <w:rsid w:val="00923CFC"/>
    <w:rsid w:val="00924482"/>
    <w:rsid w:val="00926BF9"/>
    <w:rsid w:val="0092780E"/>
    <w:rsid w:val="00932198"/>
    <w:rsid w:val="00932C8F"/>
    <w:rsid w:val="009342B1"/>
    <w:rsid w:val="00954D12"/>
    <w:rsid w:val="0095624D"/>
    <w:rsid w:val="0095784B"/>
    <w:rsid w:val="00957A46"/>
    <w:rsid w:val="00957E20"/>
    <w:rsid w:val="009655B0"/>
    <w:rsid w:val="00970A3B"/>
    <w:rsid w:val="00972108"/>
    <w:rsid w:val="00973240"/>
    <w:rsid w:val="0098068F"/>
    <w:rsid w:val="00980E4F"/>
    <w:rsid w:val="00982D04"/>
    <w:rsid w:val="00982EBA"/>
    <w:rsid w:val="009835FC"/>
    <w:rsid w:val="0098379C"/>
    <w:rsid w:val="00983A01"/>
    <w:rsid w:val="009861B6"/>
    <w:rsid w:val="00990362"/>
    <w:rsid w:val="00991742"/>
    <w:rsid w:val="009974BF"/>
    <w:rsid w:val="009A02B2"/>
    <w:rsid w:val="009A1A72"/>
    <w:rsid w:val="009A2A33"/>
    <w:rsid w:val="009A2FCA"/>
    <w:rsid w:val="009A3BE7"/>
    <w:rsid w:val="009B4886"/>
    <w:rsid w:val="009C09EE"/>
    <w:rsid w:val="009C1328"/>
    <w:rsid w:val="009C17CF"/>
    <w:rsid w:val="009C73F2"/>
    <w:rsid w:val="009D1A74"/>
    <w:rsid w:val="009D35A5"/>
    <w:rsid w:val="009D45C8"/>
    <w:rsid w:val="009E0F3A"/>
    <w:rsid w:val="009E125B"/>
    <w:rsid w:val="009E1ABA"/>
    <w:rsid w:val="009E2A89"/>
    <w:rsid w:val="009E37B9"/>
    <w:rsid w:val="009E603A"/>
    <w:rsid w:val="009E66C5"/>
    <w:rsid w:val="009F099C"/>
    <w:rsid w:val="009F5F83"/>
    <w:rsid w:val="00A016A3"/>
    <w:rsid w:val="00A16DD2"/>
    <w:rsid w:val="00A22C72"/>
    <w:rsid w:val="00A25CFA"/>
    <w:rsid w:val="00A2679E"/>
    <w:rsid w:val="00A314E3"/>
    <w:rsid w:val="00A33E0D"/>
    <w:rsid w:val="00A3435A"/>
    <w:rsid w:val="00A34513"/>
    <w:rsid w:val="00A4395F"/>
    <w:rsid w:val="00A445F0"/>
    <w:rsid w:val="00A453A2"/>
    <w:rsid w:val="00A45F71"/>
    <w:rsid w:val="00A466F9"/>
    <w:rsid w:val="00A46B0C"/>
    <w:rsid w:val="00A46CD2"/>
    <w:rsid w:val="00A50CB6"/>
    <w:rsid w:val="00A5171F"/>
    <w:rsid w:val="00A53491"/>
    <w:rsid w:val="00A61363"/>
    <w:rsid w:val="00A61DE3"/>
    <w:rsid w:val="00A66BC6"/>
    <w:rsid w:val="00A67467"/>
    <w:rsid w:val="00A768DF"/>
    <w:rsid w:val="00A77863"/>
    <w:rsid w:val="00A77F9E"/>
    <w:rsid w:val="00A847F5"/>
    <w:rsid w:val="00A848C2"/>
    <w:rsid w:val="00A86D2F"/>
    <w:rsid w:val="00A86E8B"/>
    <w:rsid w:val="00A92644"/>
    <w:rsid w:val="00A95DBC"/>
    <w:rsid w:val="00A9681F"/>
    <w:rsid w:val="00A96C69"/>
    <w:rsid w:val="00AA0977"/>
    <w:rsid w:val="00AA38B6"/>
    <w:rsid w:val="00AA3906"/>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09E1"/>
    <w:rsid w:val="00AE1034"/>
    <w:rsid w:val="00AE1631"/>
    <w:rsid w:val="00AE32A6"/>
    <w:rsid w:val="00AE400F"/>
    <w:rsid w:val="00AE465B"/>
    <w:rsid w:val="00AF5A70"/>
    <w:rsid w:val="00AF5E5B"/>
    <w:rsid w:val="00AF6210"/>
    <w:rsid w:val="00AF62DF"/>
    <w:rsid w:val="00AF671D"/>
    <w:rsid w:val="00B00361"/>
    <w:rsid w:val="00B03651"/>
    <w:rsid w:val="00B07005"/>
    <w:rsid w:val="00B11746"/>
    <w:rsid w:val="00B12DA0"/>
    <w:rsid w:val="00B152E9"/>
    <w:rsid w:val="00B23571"/>
    <w:rsid w:val="00B25D2F"/>
    <w:rsid w:val="00B3025E"/>
    <w:rsid w:val="00B30F6E"/>
    <w:rsid w:val="00B31D21"/>
    <w:rsid w:val="00B33B2D"/>
    <w:rsid w:val="00B33CF1"/>
    <w:rsid w:val="00B443B8"/>
    <w:rsid w:val="00B46AC8"/>
    <w:rsid w:val="00B513F1"/>
    <w:rsid w:val="00B5172D"/>
    <w:rsid w:val="00B520E7"/>
    <w:rsid w:val="00B52B34"/>
    <w:rsid w:val="00B53E35"/>
    <w:rsid w:val="00B55E22"/>
    <w:rsid w:val="00B56057"/>
    <w:rsid w:val="00B565D3"/>
    <w:rsid w:val="00B60514"/>
    <w:rsid w:val="00B63453"/>
    <w:rsid w:val="00B70EF0"/>
    <w:rsid w:val="00B721ED"/>
    <w:rsid w:val="00B72EC8"/>
    <w:rsid w:val="00B73D6F"/>
    <w:rsid w:val="00B77715"/>
    <w:rsid w:val="00B803A1"/>
    <w:rsid w:val="00B82A92"/>
    <w:rsid w:val="00B83D77"/>
    <w:rsid w:val="00B84ECD"/>
    <w:rsid w:val="00B86285"/>
    <w:rsid w:val="00B86978"/>
    <w:rsid w:val="00B91458"/>
    <w:rsid w:val="00B939EA"/>
    <w:rsid w:val="00B96D4B"/>
    <w:rsid w:val="00BA4094"/>
    <w:rsid w:val="00BA6C0E"/>
    <w:rsid w:val="00BB1067"/>
    <w:rsid w:val="00BB1639"/>
    <w:rsid w:val="00BC00D1"/>
    <w:rsid w:val="00BC333B"/>
    <w:rsid w:val="00BC49F6"/>
    <w:rsid w:val="00BC611F"/>
    <w:rsid w:val="00BD0AD6"/>
    <w:rsid w:val="00BD36DA"/>
    <w:rsid w:val="00BD4D69"/>
    <w:rsid w:val="00BE04DB"/>
    <w:rsid w:val="00BE1280"/>
    <w:rsid w:val="00BE1391"/>
    <w:rsid w:val="00BE2171"/>
    <w:rsid w:val="00BE6408"/>
    <w:rsid w:val="00BF3650"/>
    <w:rsid w:val="00BF56FC"/>
    <w:rsid w:val="00BF6FD2"/>
    <w:rsid w:val="00C01129"/>
    <w:rsid w:val="00C0141F"/>
    <w:rsid w:val="00C03D6B"/>
    <w:rsid w:val="00C03F0F"/>
    <w:rsid w:val="00C05FAA"/>
    <w:rsid w:val="00C05FEC"/>
    <w:rsid w:val="00C069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20DA"/>
    <w:rsid w:val="00C52538"/>
    <w:rsid w:val="00C53031"/>
    <w:rsid w:val="00C53B83"/>
    <w:rsid w:val="00C559E0"/>
    <w:rsid w:val="00C61AE0"/>
    <w:rsid w:val="00C61DBC"/>
    <w:rsid w:val="00C62235"/>
    <w:rsid w:val="00C6248F"/>
    <w:rsid w:val="00C66317"/>
    <w:rsid w:val="00C72BF8"/>
    <w:rsid w:val="00C7307C"/>
    <w:rsid w:val="00C77BEA"/>
    <w:rsid w:val="00C8624E"/>
    <w:rsid w:val="00C9377D"/>
    <w:rsid w:val="00C96D09"/>
    <w:rsid w:val="00C97D3E"/>
    <w:rsid w:val="00CA057B"/>
    <w:rsid w:val="00CA1236"/>
    <w:rsid w:val="00CA49CD"/>
    <w:rsid w:val="00CA7AFF"/>
    <w:rsid w:val="00CA7C93"/>
    <w:rsid w:val="00CB314A"/>
    <w:rsid w:val="00CB64ED"/>
    <w:rsid w:val="00CB686F"/>
    <w:rsid w:val="00CB7065"/>
    <w:rsid w:val="00CC2300"/>
    <w:rsid w:val="00CC6564"/>
    <w:rsid w:val="00CD2A78"/>
    <w:rsid w:val="00CD65C1"/>
    <w:rsid w:val="00CE2CF9"/>
    <w:rsid w:val="00CE5DE3"/>
    <w:rsid w:val="00CF2040"/>
    <w:rsid w:val="00CF37AF"/>
    <w:rsid w:val="00CF46D5"/>
    <w:rsid w:val="00CF7CDE"/>
    <w:rsid w:val="00D03C37"/>
    <w:rsid w:val="00D060EA"/>
    <w:rsid w:val="00D06377"/>
    <w:rsid w:val="00D0706C"/>
    <w:rsid w:val="00D10094"/>
    <w:rsid w:val="00D132A2"/>
    <w:rsid w:val="00D1351A"/>
    <w:rsid w:val="00D14F69"/>
    <w:rsid w:val="00D208EF"/>
    <w:rsid w:val="00D20C6D"/>
    <w:rsid w:val="00D22F19"/>
    <w:rsid w:val="00D247D4"/>
    <w:rsid w:val="00D301FC"/>
    <w:rsid w:val="00D306CA"/>
    <w:rsid w:val="00D37F75"/>
    <w:rsid w:val="00D428AF"/>
    <w:rsid w:val="00D438C2"/>
    <w:rsid w:val="00D43A1D"/>
    <w:rsid w:val="00D442D9"/>
    <w:rsid w:val="00D445DF"/>
    <w:rsid w:val="00D45C86"/>
    <w:rsid w:val="00D47842"/>
    <w:rsid w:val="00D55B89"/>
    <w:rsid w:val="00D56CD0"/>
    <w:rsid w:val="00D63E7C"/>
    <w:rsid w:val="00D6788E"/>
    <w:rsid w:val="00D74EA4"/>
    <w:rsid w:val="00D7767C"/>
    <w:rsid w:val="00D8589F"/>
    <w:rsid w:val="00D86A76"/>
    <w:rsid w:val="00D87C45"/>
    <w:rsid w:val="00D87C8A"/>
    <w:rsid w:val="00D90142"/>
    <w:rsid w:val="00D92A40"/>
    <w:rsid w:val="00D93679"/>
    <w:rsid w:val="00D93D21"/>
    <w:rsid w:val="00D9505D"/>
    <w:rsid w:val="00D970B3"/>
    <w:rsid w:val="00D97A25"/>
    <w:rsid w:val="00DA6DE5"/>
    <w:rsid w:val="00DB2D5A"/>
    <w:rsid w:val="00DB660E"/>
    <w:rsid w:val="00DC0FF0"/>
    <w:rsid w:val="00DC5555"/>
    <w:rsid w:val="00DC5630"/>
    <w:rsid w:val="00DC64A3"/>
    <w:rsid w:val="00DC6C8E"/>
    <w:rsid w:val="00DD1769"/>
    <w:rsid w:val="00DD2915"/>
    <w:rsid w:val="00DD3DC5"/>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4E4"/>
    <w:rsid w:val="00E83181"/>
    <w:rsid w:val="00E83E65"/>
    <w:rsid w:val="00E91AEB"/>
    <w:rsid w:val="00E91D5E"/>
    <w:rsid w:val="00EA6139"/>
    <w:rsid w:val="00EB1CB7"/>
    <w:rsid w:val="00EB357D"/>
    <w:rsid w:val="00EB3AC0"/>
    <w:rsid w:val="00EB4A28"/>
    <w:rsid w:val="00EC2AC0"/>
    <w:rsid w:val="00EC35F6"/>
    <w:rsid w:val="00EC4F26"/>
    <w:rsid w:val="00EC59CE"/>
    <w:rsid w:val="00EC666A"/>
    <w:rsid w:val="00EC7032"/>
    <w:rsid w:val="00EC793F"/>
    <w:rsid w:val="00EC797E"/>
    <w:rsid w:val="00ED1DF7"/>
    <w:rsid w:val="00ED532C"/>
    <w:rsid w:val="00ED611C"/>
    <w:rsid w:val="00EE0742"/>
    <w:rsid w:val="00EE0A9A"/>
    <w:rsid w:val="00EE3402"/>
    <w:rsid w:val="00EE53BB"/>
    <w:rsid w:val="00EE6D98"/>
    <w:rsid w:val="00EF3ABD"/>
    <w:rsid w:val="00EF4DE6"/>
    <w:rsid w:val="00EF54F9"/>
    <w:rsid w:val="00EF6E04"/>
    <w:rsid w:val="00F03A6F"/>
    <w:rsid w:val="00F047C8"/>
    <w:rsid w:val="00F05763"/>
    <w:rsid w:val="00F06EA7"/>
    <w:rsid w:val="00F076EE"/>
    <w:rsid w:val="00F1263C"/>
    <w:rsid w:val="00F14703"/>
    <w:rsid w:val="00F15C12"/>
    <w:rsid w:val="00F25711"/>
    <w:rsid w:val="00F32394"/>
    <w:rsid w:val="00F33653"/>
    <w:rsid w:val="00F3420F"/>
    <w:rsid w:val="00F36EFE"/>
    <w:rsid w:val="00F3771A"/>
    <w:rsid w:val="00F37FD1"/>
    <w:rsid w:val="00F41C40"/>
    <w:rsid w:val="00F428E3"/>
    <w:rsid w:val="00F45EE9"/>
    <w:rsid w:val="00F45F67"/>
    <w:rsid w:val="00F464EF"/>
    <w:rsid w:val="00F543C8"/>
    <w:rsid w:val="00F56700"/>
    <w:rsid w:val="00F57242"/>
    <w:rsid w:val="00F633C6"/>
    <w:rsid w:val="00F6373F"/>
    <w:rsid w:val="00F64395"/>
    <w:rsid w:val="00F64841"/>
    <w:rsid w:val="00F672B7"/>
    <w:rsid w:val="00F71198"/>
    <w:rsid w:val="00F72112"/>
    <w:rsid w:val="00F728F3"/>
    <w:rsid w:val="00F732AA"/>
    <w:rsid w:val="00F73C29"/>
    <w:rsid w:val="00F74CA6"/>
    <w:rsid w:val="00F75384"/>
    <w:rsid w:val="00F8001C"/>
    <w:rsid w:val="00F828E4"/>
    <w:rsid w:val="00F85D6B"/>
    <w:rsid w:val="00F908DB"/>
    <w:rsid w:val="00F9124E"/>
    <w:rsid w:val="00F9288C"/>
    <w:rsid w:val="00F95BAB"/>
    <w:rsid w:val="00F97C91"/>
    <w:rsid w:val="00FA1F27"/>
    <w:rsid w:val="00FA6898"/>
    <w:rsid w:val="00FB0504"/>
    <w:rsid w:val="00FB0E42"/>
    <w:rsid w:val="00FB1998"/>
    <w:rsid w:val="00FB38F8"/>
    <w:rsid w:val="00FB56F1"/>
    <w:rsid w:val="00FC0080"/>
    <w:rsid w:val="00FC140E"/>
    <w:rsid w:val="00FC1926"/>
    <w:rsid w:val="00FC3247"/>
    <w:rsid w:val="00FC374F"/>
    <w:rsid w:val="00FC4AAB"/>
    <w:rsid w:val="00FC4E10"/>
    <w:rsid w:val="00FC5084"/>
    <w:rsid w:val="00FD28EF"/>
    <w:rsid w:val="00FD2BEA"/>
    <w:rsid w:val="00FD2EBC"/>
    <w:rsid w:val="00FE073B"/>
    <w:rsid w:val="00FE0D27"/>
    <w:rsid w:val="00FE4765"/>
    <w:rsid w:val="00FE5386"/>
    <w:rsid w:val="00FF1D2C"/>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emf"/><Relationship Id="rId13" Type="http://schemas.openxmlformats.org/officeDocument/2006/relationships/hyperlink" Target="https://ico.org.uk/media/for-organisations/.../data_sharing_code_of_practice.pdf" TargetMode="External"/><Relationship Id="rId14" Type="http://schemas.openxmlformats.org/officeDocument/2006/relationships/hyperlink" Target="https://ico.org.uk/media/for-organisations/documents/1595/pia-code-of-practice.pdf"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8" ma:contentTypeDescription="Create a new document." ma:contentTypeScope="" ma:versionID="7eb13ae76fd926d68b716e64f08b7180">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f6496363d40f6e8b7e7036cc3a287a7d"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2C5B-3275-42FC-A8EB-405A13E7F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3.xml><?xml version="1.0" encoding="utf-8"?>
<ds:datastoreItem xmlns:ds="http://schemas.openxmlformats.org/officeDocument/2006/customXml" ds:itemID="{5C50BE4D-F98E-44F4-8B98-E7B5D0CA01DD}">
  <ds:schemaRefs>
    <ds:schemaRef ds:uri="bd2f9774-fea6-4991-a844-4915b7a2177b"/>
    <ds:schemaRef ds:uri="8d3f1dad-f1ed-4caf-90ed-bfeb57237bd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D829DDC-17C7-0E42-8134-EEBFF444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3920</Words>
  <Characters>22349</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26217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2019-06-04T13:19:00Z</dcterms:created>
  <dcterms:modified xsi:type="dcterms:W3CDTF">2019-06-04T13:19:00Z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